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AuslPflVG 2024 — Anwendungsbereich</w:t>
      </w:r>
    </w:p>
    <w:p>
      <w:r>
        <w:rPr>
          <w:color w:val="555555"/>
          <w:sz w:val="18"/>
        </w:rPr>
        <w:t xml:space="preserve">Auslandsfahrzeug-Pflichtversicherungsgesetz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Dieses Gesetz gilt nur für Fahrzeuge, die ihren gewöhnlichen Standort nicht im Inland haben.</w:t>
      </w:r>
    </w:p>
    <w:p>
      <w:r>
        <w:rPr>
          <w:color w:val="555555"/>
          <w:sz w:val="17"/>
        </w:rPr>
        <w:t xml:space="preserve">Zitiervorschlag: § 2 AuslPflVG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https://recht.nulegal.eu/gesetze/AuslPflVG%202024/2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