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AuslPflVG 2024 — Bußgeldvorschriften</w:t>
      </w:r>
    </w:p>
    <w:p>
      <w:r>
        <w:rPr>
          <w:color w:val="555555"/>
          <w:sz w:val="18"/>
        </w:rPr>
        <w:t xml:space="preserve">Auslandsfahrzeug-Pflichtversicherungsgesetz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12 Absatz 1 einen Versicherungsnachweis nicht mitführt oder nicht oder nicht rechtzeitig aushändigt oder</w:t>
      </w:r>
    </w:p>
    <w:p>
      <w:pPr>
        <w:ind w:left="420"/>
      </w:pPr>
      <w:r>
        <w:t xml:space="preserve">2. entgegen § 12 Absatz 3 eine dort genannte Handlung gestattet.</w:t>
      </w:r>
    </w:p>
    <w:p>
      <w:r>
        <w:t xml:space="preserve">(2) Die Ordnungswidrigkeit kann mit einer Geldbuße geahndet werden.</w:t>
      </w:r>
    </w:p>
    <w:p>
      <w:r>
        <w:rPr>
          <w:color w:val="555555"/>
          <w:sz w:val="17"/>
        </w:rPr>
        <w:t xml:space="preserve">Zitiervorschlag: § 19 AuslPflVG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https://recht.nulegal.eu/gesetze/AuslPflVG%202024/19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AuslPflVG 2024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