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AuslPflVG 2024 — Anforderungen an den Versicherungsnachweis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Soweit nicht durch Rechtsverordnung nach § 16 Absatz 1 Nummer 1 etwas anderes bestimmt ist, ist der Versicherungsnachweis</w:t>
      </w:r>
    </w:p>
    <w:p>
      <w:pPr>
        <w:ind w:left="420"/>
      </w:pPr>
      <w:r>
        <w:t xml:space="preserve">1. im Fall einer Grenzversicherung nach § 5 die Versicherungsbestätigung,</w:t>
      </w:r>
    </w:p>
    <w:p>
      <w:pPr>
        <w:ind w:left="420"/>
      </w:pPr>
      <w:r>
        <w:t xml:space="preserve">2. im Fall einer Versicherung des Staates, in dem das Fahrzeug seinen gewöhnlichen Standort hat, eine Grüne Karte,</w:t>
      </w:r>
    </w:p>
    <w:p>
      <w:pPr>
        <w:ind w:left="420"/>
      </w:pPr>
      <w:r>
        <w:t xml:space="preserve">3. im Fall einer sonstigen Versicherung eines Staates des Europäischen Wirtschaftsraums ein der Versicherungsbestätigung vergleichbarer Nachweis.</w:t>
      </w:r>
    </w:p>
    <w:p>
      <w:r>
        <w:rPr>
          <w:color w:val="555555"/>
          <w:sz w:val="17"/>
        </w:rPr>
        <w:t xml:space="preserve">Zitiervorschlag: § 13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