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AuslPflVG 2024 — Fortbestehen der Leistungspflicht des Deutschen Büros Grüne Karte</w:t>
      </w:r>
    </w:p>
    <w:p>
      <w:r>
        <w:rPr>
          <w:color w:val="555555"/>
          <w:sz w:val="18"/>
        </w:rPr>
        <w:t xml:space="preserve">Auslandsfahrzeug-Pflichtversicherungsgesetz</w:t>
      </w:r>
    </w:p>
    <w:p>
      <w:r>
        <w:rPr>
          <w:color w:val="555555"/>
          <w:sz w:val="18"/>
        </w:rPr>
        <w:t xml:space="preserve">Stand: 17.04.2024 (konsolidierte Textfassung, kein amtliches Inkrafttretensdatum)</w:t>
      </w:r>
    </w:p>
    <w:p>
      <w:r>
        <w:t xml:space="preserve">(1) Das Deutsche Büro Grüne Karte kann einem Dritten einen Umstand, der das Nichtbestehen oder die Beendigung der nach § 9 Absatz 1 Nummer 1 und § 9 Absatz 2 Nummer 1 aufgrund einer Grünen Karte übernommenen Verpflichtung zur Schadenregulierung zur Folge hat, nur in entsprechender Anwendung des § 7 Absatz 1 entgegenhalten.</w:t>
      </w:r>
    </w:p>
    <w:p>
      <w:r>
        <w:t xml:space="preserve">(2) Ist durch eine Rechtsverordnung nach § 15 Absatz 1 oder Absatz 2 bestimmt, dass der Fahrer des Fahrzeugs von der Pflicht zum Mitführen eines Versicherungsnachweises ausgenommen ist, so kann das Deutsche Büro Grüne Karte einen Umstand, der das Nichtbestehen oder die Beendigung der nach § 9 Absatz 1 Nummer 2 und § 9 Absatz 2 Nummer 2 übernommenen Verpflichtung zur Schadenregulierung zur Folge hat, dem Anspruch des Dritten nicht entgegenhalten, wenn sich das Fahrzeug im Zeitpunkt des Schadensereignisses mit dem bei der Einreise geführten und ihm zugeordneten amtlichen Kennzeichen im Geltungsbereich dieses Gesetzes befunden hat.</w:t>
      </w:r>
    </w:p>
    <w:p>
      <w:r>
        <w:t xml:space="preserve">(3) In den Fällen der Absätze 1 und 2 ist § 117 Absatz 3 und 4 des Versicherungsvertragsgesetzes entsprechend anzuwenden.</w:t>
      </w:r>
    </w:p>
    <w:p>
      <w:r>
        <w:rPr>
          <w:color w:val="555555"/>
          <w:sz w:val="17"/>
        </w:rPr>
        <w:t xml:space="preserve">Zitiervorschlag: § 11 AuslPflVG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https://recht.nulegal.eu/gesetze/AuslPflVG%202024/11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AuslPflVG 2024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