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AuslPflVG 2024 — Leistungspflicht des Deutschen Büros Grüne Karte</w:t>
      </w:r>
    </w:p>
    <w:p>
      <w:r>
        <w:rPr>
          <w:color w:val="555555"/>
          <w:sz w:val="18"/>
        </w:rPr>
        <w:t xml:space="preserve">Auslandsfahrzeug-Pflichtversicherungsgesetz</w:t>
      </w:r>
    </w:p>
    <w:p>
      <w:r>
        <w:rPr>
          <w:color w:val="555555"/>
          <w:sz w:val="18"/>
        </w:rPr>
        <w:t xml:space="preserve">Stand: 17.04.2024 (konsolidierte Textfassung, kein amtliches Inkrafttretensdatum)</w:t>
      </w:r>
    </w:p>
    <w:p>
      <w:r>
        <w:t xml:space="preserve">(1) Liegen die Voraussetzungen des § 9 Absatz 1 oder 2 vor, so können Dritte, die durch den Gebrauch eines Fahrzeugs im Inland geschädigt wurden, ihre Schadensersatzansprüche in gleicher Weise wie gegen den Versicherer einer Grenzversicherung auch gegen das Deutsche Büro Grüne Karte geltend machen. Die §§ 3 und 3a des Pflichtversicherungsgesetzes und die §§ 115, 116, 118 bis 120, 123 Absatz 1 und 3 sowie § 124 Absatz 1 des Versicherungsvertragsgesetzes sind entsprechend anzuwenden.</w:t>
      </w:r>
    </w:p>
    <w:p>
      <w:r>
        <w:t xml:space="preserve">(2) Das Deutsche Büro Grüne Karte ist im Verhältnis zum Dritten in dem für eine Grenzversicherung bestimmten Mindestumfang zur Leistung verpflichtet, unabhängig davon, ob ein Versicherungsverhältnis besteht und ob der Versicherer im Verhältnis zum Versicherungsnehmer von der Verpflichtung zur Leistung ganz oder teilweise frei ist.</w:t>
      </w:r>
    </w:p>
    <w:p>
      <w:r>
        <w:t xml:space="preserve">(3) Das Deutsche Büro Grüne Karte ist im Verhältnis zum Versicherungsnehmer und zu den versicherten Personen in derselben Weise zur Leistung verpflichtet, in der es auch der Versicherer des Fahrzeugs ist. Besteht kein Versicherungsverhältnis, so ist derjenige, für dessen Haftpflicht das Deutsche Büro Grüne Karte einsteht, im Verhältnis zu diesem allein zur Leistung verpflichtet.</w:t>
      </w:r>
    </w:p>
    <w:p>
      <w:r>
        <w:t xml:space="preserve">(4) Das Deutsche Büro Grüne Karte kann sich zur Schadenregulierung anderer Personen oder Einrichtungen, insbesondere eines zur Übernahme der Regulierung bereiten Versicherungsunternehmens oder Schadenabwicklungsunternehmens, bedienen.</w:t>
      </w:r>
    </w:p>
    <w:p>
      <w:r>
        <w:t xml:space="preserve">(5) Ist der Unfall durch ein Fahrzeug verursacht worden, das seinen gewöhnlichen Standort in einem anderen Staat des Europäischen Wirtschaftsraums hat, so hat das Deutsche Büro Grüne Karte bei dem den Anspruch stellenden Dritten Folgendes abzufragen:</w:t>
      </w:r>
    </w:p>
    <w:p>
      <w:pPr>
        <w:ind w:left="420"/>
      </w:pPr>
      <w:r>
        <w:t xml:space="preserve">1. den Staat, in dem das Fahrzeug seinen gewöhnlichen Standort hat,</w:t>
      </w:r>
    </w:p>
    <w:p>
      <w:pPr>
        <w:ind w:left="420"/>
      </w:pPr>
      <w:r>
        <w:t xml:space="preserve">2. gegebenenfalls das amtliche Kennzeichen des Fahrzeugs,</w:t>
      </w:r>
    </w:p>
    <w:p>
      <w:pPr>
        <w:ind w:left="420"/>
      </w:pPr>
      <w:r>
        <w:t xml:space="preserve">3. soweit möglich, die normalerweise in der Grünen Karte enthaltenen, im Besitz des Fahrzeughalters befindlichen Angaben über die Versicherung des Fahrzeugs, soweit diese von dem Staat, in dessen Gebiet das Fahrzeug seinen gewöhnlichen Standort hat, verlangt werden.</w:t>
      </w:r>
    </w:p>
    <w:p>
      <w:r>
        <w:t xml:space="preserve">Das Deutsche Büro Grüne Karte teilt die Informationen nach Satz 1 dem nationalen Versicherungsbüro des Staates des Europäischen Wirtschaftsraums mit, in dem das Fahrzeug seinen gewöhnlichen Standort hat.</w:t>
      </w:r>
    </w:p>
    <w:p>
      <w:r>
        <w:rPr>
          <w:color w:val="555555"/>
          <w:sz w:val="17"/>
        </w:rPr>
        <w:t xml:space="preserve">Zitiervorschlag: § 10 AuslPflVG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https://recht.nulegal.eu/gesetze/AuslPflVG%202024/10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AuslPflVG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