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AuslInvG — Anwendungsbereich</w:t>
      </w:r>
    </w:p>
    <w:p>
      <w:r>
        <w:rPr>
          <w:color w:val="555555"/>
          <w:sz w:val="18"/>
        </w:rPr>
        <w:t xml:space="preserve">Gesetz über steuerliche Maßnahmen bei Auslandsinvestitionen der deutschen 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vorstehende Fassung dieses Gesetzes ist vorbehaltlich der Absätze 2 und 3 erstmals für den Veranlagungszeitraum 1982 anzuwenden.</w:t>
      </w:r>
    </w:p>
    <w:p>
      <w:r>
        <w:t xml:space="preserve">(2) § 4 in der Fassung des Artikels 2 des Gesetzes vom 18. August 1969 (BGBl. I S. 1214) ist auf Anteile an Kapitalgesellschaften anzuwenden, die vor dem 1. Januar 1982 erworben werden.</w:t>
      </w:r>
    </w:p>
    <w:p>
      <w:r>
        <w:t xml:space="preserve">(3) § 5 in Verbindung mit den §§ 1 und 3 ist erstmals für das Wirtschaftsjahr anzuwenden, das nach dem 31. Dezember 1981 beginnt; für Wirtschaftsjahre, die vor dem 1. Januar 1982 beginnen, sind § 1 Abs. 3 Satz 1 und 2 sowie § 3 Abs. 2 Nr. 2 in der Fassung des Artikels 2 des Gesetzes vom 18. August 1969 (BGBl. I S. 1214) anzuwenden.</w:t>
      </w:r>
    </w:p>
    <w:p>
      <w:r>
        <w:t xml:space="preserve">(4) Rücklagen nach den §§ 1 und 3 können letztmalig für das Wirtschaftsjahr gebildet werden, das vor dem 1. Januar 1990 endet.</w:t>
      </w:r>
    </w:p>
    <w:p>
      <w:r>
        <w:t xml:space="preserve">(5) § 2 ist letztmals auf Verluste des Veranlagungszeitraums 1989 anzuwenden. § 2 Abs. 1 Satz 3, 4 und Abs. 2 ist für Veranlagungszeiträume ab 2009 weiter anzuwenden.</w:t>
      </w:r>
    </w:p>
    <w:p>
      <w:r>
        <w:rPr>
          <w:color w:val="555555"/>
          <w:sz w:val="17"/>
        </w:rPr>
        <w:t xml:space="preserve">Zitiervorschlag: § 8 AuslInvG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https://recht.nulegal.eu/gesetze/AuslInvG/8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