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AuslGrdBesStBefrV</w:t>
      </w:r>
    </w:p>
    <w:p>
      <w:r>
        <w:rPr>
          <w:color w:val="555555"/>
          <w:sz w:val="18"/>
        </w:rPr>
        <w:t xml:space="preserve">Verordnung über die Gewährung von Steuerbefreiungen für Grundbesitz ausländischer Staaten, der für Wohnzwecke des Personals diplomatischer Missionen und konsularischer Vertretungen benutzt wird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2 Buchstabe a des Gesetzes zu dem Wiener Übereinkommen vom 18. April 1961 über diplomatische Beziehungen vom 6. August 1964 (BGBl. 1964 II S. 957) und auf Grund des Artikels 2 Buchstabe a des Gesetzes zu dem Wiener Übereinkommen vom 24. April 1963 über konsularische Beziehungen vom 26. August 1969 (BGBl. 1969 II S. 1585)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AuslGrdBesStBefrV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https://recht.nulegal.eu/gesetze/AuslGrdBesStBefrV/eingangsformel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