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AuslGrV (Bayern) — Ausschluss der Einzelgenehmigung</w:t>
      </w:r>
    </w:p>
    <w:p>
      <w:r>
        <w:rPr>
          <w:color w:val="555555"/>
          <w:sz w:val="18"/>
        </w:rPr>
        <w:t xml:space="preserve">Verordnung über die Führung ausländischer akademischer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Genehmigung im Einzelfall nach Art. 105 Abs. 1 Satz 1 BayHSchG wird nicht erteilt, soweit die Führung eines ausländischen Grades oder Titels allgemein zugelassen ist.</w:t>
      </w:r>
    </w:p>
    <w:p>
      <w:r>
        <w:rPr>
          <w:color w:val="555555"/>
          <w:sz w:val="17"/>
        </w:rPr>
        <w:t xml:space="preserve">Zitiervorschlag: § 4 AuslGrV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