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AuslGrV (Bayern) — Anwendungsbereich</w:t>
      </w:r>
    </w:p>
    <w:p>
      <w:r>
        <w:rPr>
          <w:color w:val="555555"/>
          <w:sz w:val="18"/>
        </w:rPr>
        <w:t xml:space="preserve">Verordnung über die Führung ausländischer akademischer Grade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gilt für Anspruchsberechtigte nach dem Bundesvertriebenengesetz (BVFG) mit Hauptwohnung im Freistaat Bayern.</w:t>
      </w:r>
    </w:p>
    <w:p>
      <w:r>
        <w:rPr>
          <w:color w:val="555555"/>
          <w:sz w:val="17"/>
        </w:rPr>
        <w:t xml:space="preserve">Zitiervorschlag: § 1 AuslGrV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https://recht.nulegal.eu/gesetze/AuslGrV/1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