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AuslAdMV</w:t>
      </w:r>
    </w:p>
    <w:p>
      <w:r>
        <w:rPr>
          <w:color w:val="555555"/>
          <w:sz w:val="18"/>
        </w:rPr>
        <w:t xml:space="preserve">Auslandsadoptions-Meldeverordnung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9c Abs. 1 Satz 1 und 2 Nr. 1 in Verbindung mit § 2a Abs. 5 Satz 1 Nr. 1 und Satz 2 des Adoptionsvermittlungsgesetzes in der Fassung der Bekanntmachung vom 22. Dezember 2001 (BGBl. 2002 I S. 354) verordnet das Bundesministerium für Familie, Senioren, Frauen und Jugend im Einvernehmen mit dem Bundesministerium der Justiz:</w:t>
      </w:r>
    </w:p>
    <w:p>
      <w:r>
        <w:rPr>
          <w:color w:val="555555"/>
          <w:sz w:val="17"/>
        </w:rPr>
        <w:t xml:space="preserve">Zitiervorschlag: Eingangsformel AuslAdMV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https://recht.nulegal.eu/gesetze/AuslAdMV/eingangsformel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