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AuslAdMV — Inkrafttreten</w:t>
      </w:r>
    </w:p>
    <w:p>
      <w:r>
        <w:rPr>
          <w:color w:val="555555"/>
          <w:sz w:val="18"/>
        </w:rPr>
        <w:t xml:space="preserve">Auslandsadoptions-Meldeverordnung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AuslAdMV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https://recht.nulegal.eu/gesetze/AuslAdMV/8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