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AusglZAV</w:t>
      </w:r>
    </w:p>
    <w:p>
      <w:r>
        <w:rPr>
          <w:color w:val="555555"/>
          <w:sz w:val="18"/>
        </w:rPr>
        <w:t xml:space="preserve">COVID-19-Ausgleichszahlungs-Anpassungs-Verordnung</w:t>
      </w:r>
    </w:p>
    <w:p>
      <w:r>
        <w:rPr>
          <w:color w:val="555555"/>
          <w:sz w:val="18"/>
        </w:rPr>
        <w:t xml:space="preserve">Stand: 09.07.2020 (konsolidierte Textfassung, kein amtliches Inkrafttretensdatum)</w:t>
      </w:r>
    </w:p>
    <w:p>
      <w:r>
        <w:t xml:space="preserve">Auf Grund des § 23 Nummer 1 und 2 in Verbindung mit § 21 Absatz 3 des Krankenhausfinanzierungsgesetzes, von denen § 21 Absatz 3 durch Artikel 3 Nummer 1 Buchstabe a des Gesetzes vom 19. Mai 2020 (BGBl. I S. 1018) geändert worden ist, von denen § 23 Nummer 1 durch Artikel 1 Nummer 2 des Gesetzes vom 27. März 2020 (BGBl. I S. 580) neu gefasst worden ist und von denen § 23 Nummer 2 durch Artikel 3 Nummer 1a des Gesetzes vom 19. Mai 2020 (BGBl. I S. 1018) geändert worden ist, verordnet das Bundesministerium für Gesundheit im Einvernehmen mit dem Bundesministerium der Finanzen:</w:t>
      </w:r>
    </w:p>
    <w:p>
      <w:r>
        <w:rPr>
          <w:color w:val="555555"/>
          <w:sz w:val="17"/>
        </w:rPr>
        <w:t xml:space="preserve">Zitiervorschlag: Eingangsformel AusglZAV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