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AusglZAV — Änderung der Höhe der tagesbezogenen Pauschale nach § 21 Absatz 3 des Krankenhausfinanzierungsgesetzes</w:t>
      </w:r>
    </w:p>
    <w:p>
      <w:r>
        <w:rPr>
          <w:color w:val="555555"/>
          <w:sz w:val="18"/>
        </w:rPr>
        <w:t xml:space="preserve">COVID-19-Ausgleichszahlungs-Anpassungs-Verordnung</w:t>
      </w:r>
    </w:p>
    <w:p>
      <w:r>
        <w:rPr>
          <w:color w:val="555555"/>
          <w:sz w:val="18"/>
        </w:rPr>
        <w:t xml:space="preserve">Stand: 09.07.2020 (konsolidierte Textfassung, kein amtliches Inkrafttretensdatum)</w:t>
      </w:r>
    </w:p>
    <w:p>
      <w:r>
        <w:t xml:space="preserve">(1) Abweichend von § 21 Absatz 3 des Krankenhausfinanzierungsgesetzes beträgt die Höhe der tagesbezogenen Pauschale ab dem 13. Juli 2020 für Krankenhäuser, deren Leistungen nach dem Krankenhausentgeltgesetz vergütet werden und</w:t>
      </w:r>
    </w:p>
    <w:p>
      <w:pPr>
        <w:ind w:left="420"/>
      </w:pPr>
      <w:r>
        <w:t xml:space="preserve">1. für die auf der Grundlage der nach § 21 Absatz 2 Nummer 2 des Krankenhausentgeltgesetzes für das Jahr 2019 übermittelten Leistungsdaten für vollstationäre Krankenhausfälle vom Institut für das Entgeltsystem im Krankenhaus eine durchschnittliche Fallschwere (Casemixindex) und eine durchschnittliche Verweildauer ermittelt werden können, den in der Anlage für das einzelne Krankenhaus ausgewiesenen Euro-Betrag,</w:t>
      </w:r>
    </w:p>
    <w:p>
      <w:pPr>
        <w:ind w:left="420"/>
      </w:pPr>
      <w:r>
        <w:t xml:space="preserve">2. die im Jahr 2019 ihre Leistungen ausschließlich als besondere Einrichtung nach § 17b Absatz 1 Satz 10 des Krankenhausfinanzierungsgesetzes erbracht haben oder für die eine Ermittlung des Casemixindex und der durchschnittlichen Verweildauer nicht möglich ist, 560 Euro,</w:t>
      </w:r>
    </w:p>
    <w:p>
      <w:pPr>
        <w:ind w:left="420"/>
      </w:pPr>
      <w:r>
        <w:t xml:space="preserve">3. die ausschließlich teilstationäre Leistungen erbringen, 280 Euro.</w:t>
      </w:r>
    </w:p>
    <w:p>
      <w:r>
        <w:t xml:space="preserve">(2) Abweichend von § 21 Absatz 3 des Krankenhausfinanzierungsgesetzes beträgt die Höhe der tagesbezogenen Pauschale ab dem 13. Juli 2020 für Krankenhäuser, deren Leistungen nach der Bundespflegesatzverordnung vergütet werden und</w:t>
      </w:r>
    </w:p>
    <w:p>
      <w:pPr>
        <w:ind w:left="420"/>
      </w:pPr>
      <w:r>
        <w:t xml:space="preserve">1. die vollstationäre oder voll- und teilstationäre Leistungen erbringen, 280 Euro,</w:t>
      </w:r>
    </w:p>
    <w:p>
      <w:pPr>
        <w:ind w:left="420"/>
      </w:pPr>
      <w:r>
        <w:t xml:space="preserve">2. die ausschließlich teilstationäre Leistungen erbringen, 190 Euro.</w:t>
      </w:r>
    </w:p>
    <w:p>
      <w:r>
        <w:rPr>
          <w:color w:val="555555"/>
          <w:sz w:val="17"/>
        </w:rPr>
        <w:t xml:space="preserve">Zitiervorschlag: § 1 AusglZAV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https://recht.nulegal.eu/gesetze/AusglZAV/1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