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AusglVtrNLDG</w:t>
      </w:r>
    </w:p>
    <w:p>
      <w:r>
        <w:rPr>
          <w:color w:val="555555"/>
          <w:sz w:val="18"/>
        </w:rPr>
        <w:t xml:space="preserve">Gesetz zu dem Vertrag vom 8. April 1960 zwischen der Bundesrepublik Deutschland und dem Königreich der Niederlande zur Regelung von Grenzfragen und anderen zwischen beiden Ländern bestehenden Problemen (Ausgleichsvertrag)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am Tage nach seiner Verkündung in Kraft.</w:t>
      </w:r>
    </w:p>
    <w:p>
      <w:r>
        <w:t xml:space="preserve">(2) Der Tag, an dem der Vertrag nach seinem Artikel 4 und die beigefügten Briefwechsel in Kraft treten, ist im Bundesgesetzblatt bekanntzugeben.</w:t>
      </w:r>
    </w:p>
    <w:p>
      <w:r>
        <w:rPr>
          <w:color w:val="555555"/>
          <w:sz w:val="17"/>
        </w:rPr>
        <w:t xml:space="preserve">Zitiervorschlag: Art 11 AusglVtrNLDG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https://recht.nulegal.eu/gesetze/AusglVtrNLDG/11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