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AusglMechV 2015 — Regionalnachweisregister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10.08.2022 (konsolidierte Textfassung, kein amtliches Inkrafttretensdatum)</w:t>
      </w:r>
    </w:p>
    <w:p>
      <w:r>
        <w:t xml:space="preserve">(1) Das Umweltbundesamt errichtet und betreibt das Regionalnachweisregister nach § 79a Absatz 4 des Erneuerbare-Energien-Gesetzes nach Maßgabe der Rechtsverordnung nach § 14. Das Bundesministerium für Wirtschaft und Klimaschutz macht das Datum der Inbetriebnahme im Bundesanzeiger bekannt.</w:t>
      </w:r>
    </w:p>
    <w:p>
      <w:r>
        <w:t xml:space="preserve">(2) § 7 Absatz 2 bis 4 ist auf das Regionalnachweisregister entsprechend anzuwenden.</w:t>
      </w:r>
    </w:p>
    <w:p>
      <w:r>
        <w:rPr>
          <w:color w:val="555555"/>
          <w:sz w:val="17"/>
        </w:rPr>
        <w:t xml:space="preserve">Zitiervorschlag: § 8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