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12f AusglMechV 2015 — Verbot der Teilnahme an Ausschreibungen</w:t>
      </w:r>
    </w:p>
    <w:p>
      <w:r>
        <w:rPr>
          <w:color w:val="555555"/>
          <w:sz w:val="18"/>
        </w:rPr>
        <w:t xml:space="preserve">Erneuerbare-Energien-Verordnung</w:t>
      </w:r>
    </w:p>
    <w:p>
      <w:r>
        <w:rPr>
          <w:color w:val="555555"/>
          <w:sz w:val="18"/>
        </w:rPr>
        <w:t xml:space="preserve">Stand: 02.10.2021 (konsolidierte Textfassung, kein amtliches Inkrafttretensdatum)</w:t>
      </w:r>
    </w:p>
    <w:p>
      <w:r>
        <w:t xml:space="preserve">Anlagen, deren Betreiber die Geltendmachung des verlängerten Zahlungsanspruchs dem Netzbetreiber nach Maßgabe des § 12d mitgeteilt haben, dürfen nicht an Ausschreibungen nach § 39g des Erneuerbare-Energien-Gesetzes teilnehmen.</w:t>
      </w:r>
    </w:p>
    <w:p>
      <w:r>
        <w:rPr>
          <w:color w:val="555555"/>
          <w:sz w:val="17"/>
        </w:rPr>
        <w:t xml:space="preserve">Zitiervorschlag: § 12f AusglMechV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https://recht.nulegal.eu/gesetze/AusglMechV%202015/12f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