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12e AusglMechV 2015 — Fälligkeit</w:t>
      </w:r>
    </w:p>
    <w:p>
      <w:r>
        <w:rPr>
          <w:color w:val="555555"/>
          <w:sz w:val="18"/>
        </w:rPr>
        <w:t xml:space="preserve">Erneuerbare-Energien-Verordnung</w:t>
      </w:r>
    </w:p>
    <w:p>
      <w:r>
        <w:rPr>
          <w:color w:val="555555"/>
          <w:sz w:val="18"/>
        </w:rPr>
        <w:t xml:space="preserve">Stand: 02.10.2021 (konsolidierte Textfassung, kein amtliches Inkrafttretensdatum)</w:t>
      </w:r>
    </w:p>
    <w:p>
      <w:r>
        <w:t xml:space="preserve">(1) Der Anspruch nach § 12a wird erst fällig, nachdem der Anlagenbetreiber der Bundesnetzagentur unter Angabe der Nummer, unter der die Anlage im Marktstammdatenregister registriert ist, mitgeteilt hat,</w:t>
      </w:r>
    </w:p>
    <w:p>
      <w:pPr>
        <w:ind w:left="420"/>
      </w:pPr>
      <w:r>
        <w:t xml:space="preserve">1. dass er den nach § 12a verlängerten Zahlungsanspruch geltend machen wird und</w:t>
      </w:r>
    </w:p>
    <w:p>
      <w:pPr>
        <w:ind w:left="420"/>
      </w:pPr>
      <w:r>
        <w:t xml:space="preserve">2. für welche installierte Leistung er diesen Zahlungsanspruch geltend machen wird.</w:t>
      </w:r>
    </w:p>
    <w:p>
      <w:r>
        <w:t xml:space="preserve">Die Bundesnetzagentur kann für die Mitteilung nach Satz 1 Formatvorgaben machen. Die Mitteilung kann von der Bundesnetzagentur auf ein elektronisches Verfahren umgestellt werden.</w:t>
      </w:r>
    </w:p>
    <w:p>
      <w:r>
        <w:t xml:space="preserve">(2) Die Bundesnetzagentur veröffentlicht die Anlagen, deren Betreiber eine Mitteilung nach Absatz 1 vorgenommen haben, unter Angabe der Nummern, unter denen die Anlagen im Marktstammdatenregister registriert sind, in nicht personenbezogener Form auf ihrer Internetseite.</w:t>
      </w:r>
    </w:p>
    <w:p>
      <w:r>
        <w:rPr>
          <w:color w:val="555555"/>
          <w:sz w:val="17"/>
        </w:rPr>
        <w:t xml:space="preserve">Zitiervorschlag: § 12e AusglMechV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https://recht.nulegal.eu/gesetze/AusglMechV%202015/12e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