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12d AusglMechV 2015 — Mitteilungspflichten</w:t>
      </w:r>
    </w:p>
    <w:p>
      <w:r>
        <w:rPr>
          <w:color w:val="555555"/>
          <w:sz w:val="18"/>
        </w:rPr>
        <w:t xml:space="preserve">Erneuerbare-Energien-Verordnung</w:t>
      </w:r>
    </w:p>
    <w:p>
      <w:r>
        <w:rPr>
          <w:color w:val="555555"/>
          <w:sz w:val="18"/>
        </w:rPr>
        <w:t xml:space="preserve">Stand: 02.10.2021 (konsolidierte Textfassung, kein amtliches Inkrafttretensdatum)</w:t>
      </w:r>
    </w:p>
    <w:p>
      <w:r>
        <w:t xml:space="preserve">Die Anlagenbetreiber müssen dem Netzbetreiber unter Angabe der Nummer, unter der die Anlage im Marktstammdatenregister registriert ist, bis spätestens drei Monate vor Beendigung des ursprünglichen Anspruchs auf Zahlung nach der für die Anlage maßgeblichen Fassung des Erneuerbare-Energien-Gesetzes mitteilen, dass sie den nach § 12a verlängerten Zahlungsanspruch geltend machen werden. Abweichend von Satz 1 müssen Betreiber von Anlagen, deren ursprünglicher Anspruch auf Zahlung nach der für die Anlage maßgeblichen Fassung des Erneuerbare-Energien-Gesetzes vor dem 1. Januar 2021 beendet war, die Geltendmachung des verlängerten Zahlungsanspruchs dem Netzbetreiber bis zum 30. September 2021 mitteilen.</w:t>
      </w:r>
    </w:p>
    <w:p>
      <w:r>
        <w:rPr>
          <w:color w:val="555555"/>
          <w:sz w:val="17"/>
        </w:rPr>
        <w:t xml:space="preserve">Zitiervorschlag: § 12d AusglMechV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https://recht.nulegal.eu/gesetze/AusglMechV%202015/12d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