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12c AusglMechV 2015 — Höhe des Zahlungsanspruchs</w:t>
      </w:r>
    </w:p>
    <w:p>
      <w:r>
        <w:rPr>
          <w:color w:val="555555"/>
          <w:sz w:val="18"/>
        </w:rPr>
        <w:t xml:space="preserve">Erneuerbare-Energien-Verordnung</w:t>
      </w:r>
    </w:p>
    <w:p>
      <w:r>
        <w:rPr>
          <w:color w:val="555555"/>
          <w:sz w:val="18"/>
        </w:rPr>
        <w:t xml:space="preserve">Stand: 02.10.2021 (konsolidierte Textfassung, kein amtliches Inkrafttretensdatum)</w:t>
      </w:r>
    </w:p>
    <w:p>
      <w:r>
        <w:t xml:space="preserve">(1) In dem Anschlusszeitraum nach § 12a ist der ursprüngliche Anspruch auf Zahlung der Höhe nach begrenzt</w:t>
      </w:r>
    </w:p>
    <w:p>
      <w:pPr>
        <w:ind w:left="420"/>
      </w:pPr>
      <w:r>
        <w:t xml:space="preserve">1. auf die durchschnittliche Höhe des anzulegenden Werts für den in der jeweiligen Anlage erzeugten Strom in Cent pro Kilowattstunde nach dem Erneuerbare-Energien-Gesetz in der für die Anlage maßgeblichen Fassung, wobei der Durchschnitt der drei letzten Kalenderjahre des ursprünglichen Anspruchszeitraums maßgeblich ist, und</w:t>
      </w:r>
    </w:p>
    <w:p>
      <w:pPr>
        <w:ind w:left="420"/>
      </w:pPr>
      <w:r>
        <w:t xml:space="preserve">2. auf höchstens</w:t>
      </w:r>
    </w:p>
    <w:p>
      <w:pPr>
        <w:ind w:left="780"/>
      </w:pPr>
      <w:r>
        <w:t xml:space="preserve">a) 15,5 Cent pro Kilowattstunde bis einschließlich einer Bemessungsleistung von 75 Kilowatt und</w:t>
      </w:r>
    </w:p>
    <w:p>
      <w:pPr>
        <w:ind w:left="780"/>
      </w:pPr>
      <w:r>
        <w:t xml:space="preserve">b) 7,5 Cent pro Kilowattstunde bis einschließlich einer Bemessungsleistung von 150 Kilowatt.</w:t>
      </w:r>
    </w:p>
    <w:p>
      <w:r>
        <w:t xml:space="preserve">(2) Die Höhe der Anspruchsbegrenzung nach Absatz 1 Nummer 2 verringert sich ab dem Jahr 2022 jeweils zum 1. Januar eines Kalenderjahres für Anlagen, deren Anschlusszeitraum nach § 12a vor diesem Zeitpunkt noch nicht begonnen hat, um 0,5 Prozent gegenüber der im jeweils vorangegangenen Kalenderjahr geltenden Anspruchsbegrenzung und wird auf zwei Stellen nach dem Komma gerundet. Für die Berechnung der Höhe der Anspruchsbegrenzung aufgrund einer erneuten Anpassung nach Satz 1 sind die ungerundeten Werte zugrunde zu legen.</w:t>
      </w:r>
    </w:p>
    <w:p>
      <w:r>
        <w:rPr>
          <w:color w:val="555555"/>
          <w:sz w:val="17"/>
        </w:rPr>
        <w:t xml:space="preserve">Zitiervorschlag: § 12c AusglMechV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https://recht.nulegal.eu/gesetze/AusglMechV%202015/12c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