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AusglMechV 2015 — Grundsätze für Herkunftsnachweise</w:t>
      </w:r>
    </w:p>
    <w:p>
      <w:r>
        <w:rPr>
          <w:color w:val="555555"/>
          <w:sz w:val="18"/>
        </w:rPr>
        <w:t xml:space="preserve">Erneuerbare-Energien-Verordnung</w:t>
      </w:r>
    </w:p>
    <w:p>
      <w:r>
        <w:rPr>
          <w:color w:val="555555"/>
          <w:sz w:val="18"/>
        </w:rPr>
        <w:t xml:space="preserve">Stand: 01.07.2021 (konsolidierte Textfassung, kein amtliches Inkrafttretensdatum)</w:t>
      </w:r>
    </w:p>
    <w:p>
      <w:r>
        <w:t xml:space="preserve">(1) Die Ausstellung, Anerkennung und Übertragung von Herkunftsnachweisen erfolgen auf Antrag nach Maßgabe der Rechtsverordnung nach § 14.</w:t>
      </w:r>
    </w:p>
    <w:p>
      <w:r>
        <w:t xml:space="preserve">(2) Das Umweltbundesamt entwertet Herkunftsnachweise nach ihrer Verwendung, spätestens aber 18 Monate nach Erzeugung der entsprechenden Strommenge. Entwertete Herkunftsnachweise dürfen nicht mehr verwendet werden. Sie sind unverzüglich automatisch zu löschen, sobald sie zur Führung des Herkunftsnachweisregisters nicht mehr erforderlich sind.</w:t>
      </w:r>
    </w:p>
    <w:p>
      <w:r>
        <w:rPr>
          <w:color w:val="555555"/>
          <w:sz w:val="17"/>
        </w:rPr>
        <w:t xml:space="preserve">Zitiervorschlag: § 11 AusglMechV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https://recht.nulegal.eu/gesetze/AusglMechV%202015/11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