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AusglMechAV</w:t>
      </w:r>
    </w:p>
    <w:p>
      <w:r>
        <w:rPr>
          <w:color w:val="555555"/>
          <w:sz w:val="18"/>
        </w:rPr>
        <w:t xml:space="preserve">Erneuerbare-Energien-Ausführungsverordnung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Auf Grund des § 64 Absatz 3 Nummer 7 des Erneuerbare-Energien-Gesetzes vom 25. Oktober 2008 (BGBl. I S. 2074) in Verbindung mit § 11 Nummer 1 bis 3 der Verordnung zur Weiterentwicklung des bundesweiten Ausgleichsmechanismus vom 17. Juli 2009 (BGBl. I S. 2101) verordnet die Bundesnetzagentur für Elektrizität, Gas, Telekommunikation, Post und Eisenbahnen im Einvernehmen mit dem Bundesministerium für Umwelt, Naturschutz und Reaktorsicherheit und dem Bundesministerium für Wirtschaft und Technologie:</w:t>
      </w:r>
    </w:p>
    <w:p>
      <w:r>
        <w:rPr>
          <w:color w:val="555555"/>
          <w:sz w:val="17"/>
        </w:rPr>
        <w:t xml:space="preserve">Zitiervorschlag: Eingangsformel AusglMechAV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https://recht.nulegal.eu/gesetze/AusglMechAV/eingangsformel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