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AusglMechAV — Übergangsregelung</w:t>
      </w:r>
    </w:p>
    <w:p>
      <w:r>
        <w:rPr>
          <w:color w:val="555555"/>
          <w:sz w:val="18"/>
        </w:rPr>
        <w:t xml:space="preserve">Erneuerbare-Energien-Ausführungsverordnung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Für die bis zum 31. April 2015 nach § 1 vermarkteten Strommengen können die Übertragungsnetzbetreiber die nach § 2 Nummer 1, 4 und 5 zu veröffentlichenden Daten erst zum 1. Mai 2015 veröffentlichen. Bis dahin sind die Vermarktungstätigkeiten insoweit nach § 2 Nummer 1 bis 3 der Ausgleichsmechanismus-Ausführungsverordnung in der am 31. Januar 2015 geltenden Fassung zu veröffentlichen.</w:t>
      </w:r>
    </w:p>
    <w:p>
      <w:r>
        <w:rPr>
          <w:color w:val="555555"/>
          <w:sz w:val="17"/>
        </w:rPr>
        <w:t xml:space="preserve">Zitiervorschlag: § 9 AusglMechAV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https://recht.nulegal.eu/gesetze/AusglMechAV/9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