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AusglMechAV — Preislimitierung in Ausnahmefällen</w:t>
      </w:r>
    </w:p>
    <w:p>
      <w:r>
        <w:rPr>
          <w:color w:val="555555"/>
          <w:sz w:val="18"/>
        </w:rPr>
        <w:t xml:space="preserve">Erneuerbare-Energien-Ausführungsverordnung</w:t>
      </w:r>
    </w:p>
    <w:p>
      <w:r>
        <w:rPr>
          <w:color w:val="555555"/>
          <w:sz w:val="18"/>
        </w:rPr>
        <w:t xml:space="preserve">Historische Fassung: Stand 25.01.2021 bis 01.01.2023. Dies ist nicht die aktuelle Fassung.</w:t>
      </w:r>
    </w:p>
    <w:p>
      <w:r>
        <w:t xml:space="preserve">(1) Der Übertragungsnetzbetreiber kann nach Maßgabe der folgenden Absätze für diejenigen Stunden des folgenden Tages, für die im Fall von negativen Preisen an einer der Strombörsen ein Aufruf zur zweiten Auktion ergeht, von der Verpflichtung abweichen, die vollständige gemäß aktueller Prognose vorhergesagte stündliche Einspeisung zu preisunabhängigen Geboten an den Spotmärkten dieser Strombörsen nach § 1 Absatz 1 zu veräußern. Der Übertragungsnetzbetreiber hat der Bundesnetzagentur die konkreten Stunden, in denen er von der Befugnis nach Satz 1 Gebrauch macht, unverzüglich anzuzeigen. Die Sätze 1 und 2 sind entsprechend anzuwenden auf diejenigen Stunden des Folgetages, für die aufgrund einer partiellen Entkopplung grenzüberschreitend gekoppelter Marktgebiete von der Strombörse zu einer Anpassung der Gebote aufgerufen wird.</w:t>
      </w:r>
    </w:p>
    <w:p>
      <w:r>
        <w:t xml:space="preserve">(2) In den Fällen des Absatzes 1 ist der Übertragungsnetzbetreiber berechtigt, preislimitierte Gebote im Rahmen der Vermarktung nach § 1 Absatz 1 abzugeben. Die zu veräußernde Strommenge ist in 20 gleich große Tranchen aufzuteilen und jeweils mit einem eigenen Preislimit anzubieten. Die Preislimits müssen bei mindestens –350 Euro je Megawattstunde und höchstens –150 Euro je Megawattstunde liegen. Jeder Betrag in Schritten von je einem Euro innerhalb dieses Rahmens wird zufallsgesteuert mit gleicher Wahrscheinlichkeit als Preislimit gesetzt. Die Preislimits müssen für jeden Fall des Absatzes 1 neu bestimmt werden. Die Preislimits sind bis zur Veröffentlichung nach Satz 7 vertraulich zu behandeln. Der Übertragungsnetzbetreiber ist verpflichtet, zwei Werktage nach Ende der Auktion auf seiner Internetseite Folgendes bekannt zu geben:</w:t>
      </w:r>
    </w:p>
    <w:p>
      <w:pPr>
        <w:ind w:left="420"/>
      </w:pPr>
      <w:r>
        <w:t xml:space="preserve">1. Stunden, für die er ein preislimitiertes Gebot abgegeben hat;</w:t>
      </w:r>
    </w:p>
    <w:p>
      <w:pPr>
        <w:ind w:left="420"/>
      </w:pPr>
      <w:r>
        <w:t xml:space="preserve">2. Höhe der Preislimits jeder Tranche;</w:t>
      </w:r>
    </w:p>
    <w:p>
      <w:pPr>
        <w:ind w:left="420"/>
      </w:pPr>
      <w:r>
        <w:t xml:space="preserve">3. am Spotmarkt nach § 1 Absatz 1 unverkaufte Energiemenge.</w:t>
      </w:r>
    </w:p>
    <w:p>
      <w:r>
        <w:t xml:space="preserve">(3) Kann im Falle von preislimitierten Angeboten die nach § 1 Absatz 1 zu vermarktende Strommenge nicht oder nicht vollständig veräußert werden, weil der börslich gebildete negative Preis unterhalb des negativen Preislimits liegt, hat eine notwendige anderweitige Veräußerung dieser Strommenge soweit möglich nach § 1 Absatz 2 und 3 zu erfolgen. Der Übertragungsnetzbetreiber ist verpflichtet, gleichzeitig mit der Bekanntgabe nach Absatz 2 Satz 7 auf seiner Internetseite bekannt zu geben:</w:t>
      </w:r>
    </w:p>
    <w:p>
      <w:pPr>
        <w:ind w:left="420"/>
      </w:pPr>
      <w:r>
        <w:t xml:space="preserve">1. Stunden, für welche Energie nach § 1 Absatz 2 und 3 unverkauft geblieben ist;</w:t>
      </w:r>
    </w:p>
    <w:p>
      <w:pPr>
        <w:ind w:left="420"/>
      </w:pPr>
      <w:r>
        <w:t xml:space="preserve">2. die Menge der in der jeweiligen Stunde unverkauften Energie.</w:t>
      </w:r>
    </w:p>
    <w:p>
      <w:r>
        <w:t xml:space="preserve">(4) Ist aufgrund nachprüfbarer Tatsachen zu erwarten, dass eine Veräußerung nach Absatz 3 nicht oder nur zu Preisen möglich sein wird, die deutlich unterhalb der nach Absatz 2 gesetzten negativen Preislimits liegen würden, kann der Übertragungsnetzbetreiber zur Stützung der börslichen Preise Vereinbarungen nutzen, in denen sich Stromerzeuger freiwillig verpflichten, auf Aufforderung des Übertragungsnetzbetreibers die Einspeisung von Strom ganz oder teilweise zu unterlassen oder in denen sich Stromverbraucher freiwillig verpflichten, auf Aufforderung des Übertragungsnetzbetreibers ihren Stromverbrauch in bestimmtem Ausmaß zu erhöhen. Die für freiwillige Maßnahmen nach Satz 1 gezahlten Preise dürfen nicht höher sein als die Preise, die sich am vortägigen Spotmarkt für die betreffende Stunde eingestellt hätten, wenn die im Rahmen freiwilliger Vereinbarungen von allen Übertragungsnetzbetreibern abgerufenen Mengen bereits als Nachfrage in die Preisbildung des vortägigen Spotmarkts eingegangen wären. Freiwillige Abregelungsvereinbarungen mit Stromerzeugern, die im Falle der Einspeisung eine Vergütung nach dem Erneuerbare-Energien-Gesetz erhielten, dürfen erst genutzt werden, wenn Vereinbarungen mit anderen Stromerzeugern oder Stromverbrauchern vollständig ausgenutzt wurden. Der Übertragungsnetzbetreiber hat eine Verfahrensanweisung zu entwickeln, in welchen Fällen und in welcher Weise er von den Vorschriften dieses Absatzes Gebrauch machen wird. Die Verfahrensanweisung und etwaige Änderungen derselben sind der Bundesnetzagentur vor der erstmaligen Anwendung anzuzeigen. Die in diesem Absatz genannten Vereinbarungen sind der Bundesnetzagentur auf Verlangen jederzeit vorzulegen. Der Übertragungsnetzbetreiber ist verpflichtet, gleichzeitig mit der Bekanntgabe nach Absatz 2 Satz 7 auf seiner Internetseite bekannt zu geben, für welche Stunden und für welche Energiemenge in der jeweiligen Stunde er von Vereinbarungen im Sinne des Satzes 1 Gebrauch gemacht hat.</w:t>
      </w:r>
    </w:p>
    <w:p>
      <w:r>
        <w:t xml:space="preserve">(5) Die durch die in Absatz 4 genannten Maßnahmen entstehenden Kosten gelten als Kosten für den untertägigen Ausgleich im Sinne von § 3 Absatz 4 Nummer 6 der Erneuerbare-Energien-Verordnung. Sie können nur dann in die EEG-Umlage einkalkuliert werden, wenn die in den vorstehenden Absätzen enthaltenen Vorschriften oder die in Aufsichtsmaßnahmen der Bundesnetzagentur enthalten Maßgaben eingehalten wurden.</w:t>
      </w:r>
    </w:p>
    <w:p>
      <w:r>
        <w:rPr>
          <w:color w:val="555555"/>
          <w:sz w:val="17"/>
        </w:rPr>
        <w:t xml:space="preserve">Zitiervorschlag: § 8 AusglMechAV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https://recht.nulegal.eu/gesetze/AusglMechAV/8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