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AusglMechAV — Anreize zur bestmöglichen Vermarktung</w:t>
      </w:r>
    </w:p>
    <w:p>
      <w:r>
        <w:rPr>
          <w:color w:val="555555"/>
          <w:sz w:val="18"/>
        </w:rPr>
        <w:t xml:space="preserve">Erneuerbare-Energien-Ausführungsverordnung</w:t>
      </w:r>
    </w:p>
    <w:p>
      <w:r>
        <w:rPr>
          <w:color w:val="555555"/>
          <w:sz w:val="18"/>
        </w:rPr>
        <w:t xml:space="preserve">Historische Fassung: Stand 01.10.2021 bis 01.01.2023. Dies ist nicht die aktuelle Fassung.</w:t>
      </w:r>
    </w:p>
    <w:p>
      <w:r>
        <w:t xml:space="preserve">(1) Um Anreize zu schaffen, den nach § 19 Absatz 1 Nummer 2 des Erneuerbare-Energien-Gesetzes vergüteten oder nach § 13a Absatz 1a des Energiewirtschaftsgesetzes bilanziell ausgeglichenen Strom bestmöglich zu vermarkten, werden je Kalenderjahr (Anreizjahr) die spezifischen beeinflussbaren Differenzkosten eines Übertragungsnetzbetreibers mit einem Vergleichswert verglichen.</w:t>
      </w:r>
    </w:p>
    <w:p>
      <w:r>
        <w:t xml:space="preserve">(2) Beeinflussbare Differenzkosten bestehen aus einer Komponente, welche die Aktivitäten an einem untertägigen Spotmarkt abbildet, und einer Komponente, welche die Inanspruchnahme der Ausgleichsenergie abbildet. Die Ermittlung der beeinflussbaren Differenzkosten je Viertelstunde erfolgt, indem</w:t>
      </w:r>
    </w:p>
    <w:p>
      <w:pPr>
        <w:ind w:left="420"/>
      </w:pPr>
      <w:r>
        <w:t xml:space="preserve">1. bei untertägiger Beschaffung je Viertelstunde die beschaffte Menge (KUT) mit der Differenz zwischen dem tatsächlich gezahlten Preis (PUT) und dem Preis des Vortagshandels (PVT) multipliziert wird,</w:t>
      </w:r>
    </w:p>
    <w:p>
      <w:pPr>
        <w:ind w:left="420"/>
      </w:pPr>
      <w:r>
        <w:t xml:space="preserve">2. bei untertägiger Veräußerung die veräußerte oder gelieferte Menge (VKUT) mit der Differenz zwischen dem Preis des Vortageshandels (PVT) und dem tatsächlich gezahlten Preis (PUT) multipliziert wird,</w:t>
      </w:r>
    </w:p>
    <w:p>
      <w:pPr>
        <w:ind w:left="420"/>
      </w:pPr>
      <w:r>
        <w:t xml:space="preserve">3. bei Bezug von positiver Ausgleichsenergie je Viertelstunde die bezogene Menge (KAE) mit der Differenz zwischen dem tatsächlich gezahlten Preis (PAE) und dem Preis des Vortageshandels (PVT) multipliziert wird oder</w:t>
      </w:r>
    </w:p>
    <w:p>
      <w:pPr>
        <w:ind w:left="420"/>
      </w:pPr>
      <w:r>
        <w:t xml:space="preserve">4. bei Bezug von negativer (gelieferter) Ausgleichsenergie die gelieferte Menge (VKAE) mit der Differenz zwischen dem Preis des Vortageshandels (PVT) und dem tatsächlich gezahlten Preis (PAE) multipliziert wird.</w:t>
      </w:r>
    </w:p>
    <w:p>
      <w:r>
        <w:t xml:space="preserve">Als Preis des Vortageshandels (PVT) gilt der Spotmarktpreis nach § 3 Nummer 42a des Erneuerbare-Energien-Gesetzes. Als Aktivitäten an einem untertägigen Spotmarkt gelten für die Ermittlung der beeinflussbaren Differenzkosten die Handelsaktivitäten nach § 1 Absatz 2 und 3. Die beeinflussbaren Differenzkosten je Viertelstunde werden nach der folgenden Formel ermittelt:</w:t>
      </w:r>
    </w:p>
    <w:p>
      <w:r>
        <w:t xml:space="preserve">KUT ∙ (PUT - PVT) + VKUT ∙ (PVT - PUT) + KAE ∙ (PAE - PVT) + VKAE ∙ (PVT - PAE).</w:t>
      </w:r>
    </w:p>
    <w:p>
      <w:r>
        <w:t xml:space="preserve">(3) Für die Ermittlung der spezifischen beeinflussbaren Differenzkosten eines Übertragungsnetzbetreibers im Sinne von Absatz 1 ist die Summe der nach Maßgabe des Absatzes 2 ermittelten Viertelstundenwerte eines Kalenderjahres durch die innerhalb dieses Zeitraums zu vermarktende Menge des nach § 19 Absatz 1 Nummer 2 des Erneuerbare-Energien-Gesetzes vergüteten oder nach § 13a Absatz 1a des Energiewirtschaftsgesetzes bilanziell ausgeglichenen Stroms zu dividieren. Unter zu vermarktender Menge ist die nach Durchführung des unverzüglichen horizontalen Belastungsausgleichs bei einem Übertragungsnetzbetreiber verbleibende Strommenge zu verstehen.</w:t>
      </w:r>
    </w:p>
    <w:p>
      <w:r>
        <w:t xml:space="preserve">(4) Der Vergleichswert im Sinne von Absatz 1 ist der arithmetische Mittelwert der jeweiligen spezifischen beeinflussbaren Differenzkosten aller Übertragungsnetzbetreiber der beiden Vorjahre.</w:t>
      </w:r>
    </w:p>
    <w:p>
      <w:r>
        <w:t xml:space="preserve">(5) Der Übertragungsnetzbetreiber hat Anspruch auf einen Bonus, sofern seine spezifischen beeinflussbaren Differenzkosten den Vergleichswert zuzüglich eines Zuschlags von 5 Cent pro Megawattstunde nicht übersteigen. Die Höhe des Bonus beträgt 25 Prozent der Differenz zwischen dem Vergleichswert zuzüglich des Zuschlags und den spezifischen beeinflussbaren Differenzkosten nach Absatz 3 multipliziert mit der zu vermarktenden Menge im Sinne des Absatzes 3 Satz 2. Die Auszahlung von Boni ist für alle Übertragungsnetzbetreiber zusammen auf 20 Millionen Euro je Kalenderjahr begrenzt. Die maximal in einem Kalenderjahr zu erreichende Höhe des Bonus eines einzelnen Übertragungsnetzbetreibers ergibt sich aus dem Anteil seiner nach dem horizontalen Belastungsausgleich zu vermarktenden Strommenge an der insgesamt zu vermarktenden Strommenge aller Übertragungsnetzbetreiber multipliziert mit 20 Millionen Euro.</w:t>
      </w:r>
    </w:p>
    <w:p>
      <w:r>
        <w:t xml:space="preserve">(6) In dem auf das Anreizjahr folgenden Jahr verbuchen die Übertragungsnetzbetreiber den etwaigen Bonus im Rahmen der Ermittlung der Umlage nach § 60 Absatz 1 des Erneuerbare-Energien-Gesetzes (EEG-Umlage) als prognostizierte Ausgabenposition nach § 3 Absatz 1 Nummer 1 der Erneuerbare-Energien-Verordnung in Verbindung mit § 6 Absatz 1 Nummer 8. Übertragungsnetzbetreiber, die eine Bonuszahlung nach Absatz 5 geltend machen, müssen dies bis zum 31. März des auf das Anreizjahr folgenden Jahres bei der Bundesnetzagentur anzeigen und die sachliche Richtigkeit der Berechnung nachweisen. § 4 Absatz 4 ist entsprechend anzuwenden.</w:t>
      </w:r>
    </w:p>
    <w:p>
      <w:r>
        <w:t xml:space="preserve">(7) Die Vereinnahmung des Bonus erfolgt in zwölf gleichmäßig verteilten Monatsraten. Sie beginnt zum Anfang des übernächsten Jahres bezogen auf das Anreizjahr.</w:t>
      </w:r>
    </w:p>
    <w:p>
      <w:r>
        <w:rPr>
          <w:color w:val="555555"/>
          <w:sz w:val="17"/>
        </w:rPr>
        <w:t xml:space="preserve">Zitiervorschlag: § 7 AusglMechAV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https://recht.nulegal.eu/gesetze/AusglMechAV/7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