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AusglMechAV — Transparenz der Vermarktungstätigkeiten</w:t>
      </w:r>
    </w:p>
    <w:p>
      <w:r>
        <w:rPr>
          <w:color w:val="555555"/>
          <w:sz w:val="18"/>
        </w:rPr>
        <w:t xml:space="preserve">Erneuerbare-Energien-Ausführungsverordnung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Die Übertragungsnetzbetreiber sind verpflichtet, folgende Daten ergänzend zu den Daten nach der Anlage 1 Nummer 3 des Erneuerbare-Energien-Gesetzes auf einer gemeinsamen Internetseite in einheitlichem Format in nicht personenbezogener Form zu veröffentlichen:</w:t>
      </w:r>
    </w:p>
    <w:p>
      <w:pPr>
        <w:ind w:left="420"/>
      </w:pPr>
      <w:r>
        <w:t xml:space="preserve">1. die nach § 1 Absatz 1 veräußerte Einspeisung aufgeschlüsselt nach den Technologiegruppen Windenergie, solare Strahlungsenergie und Sonstige in mindestens stündlicher Auflösung; sie ist spätestens bis 18 Uhr desselben Tages zu veröffentlichen;</w:t>
      </w:r>
    </w:p>
    <w:p>
      <w:pPr>
        <w:ind w:left="420"/>
      </w:pPr>
      <w:r>
        <w:t xml:space="preserve">2. die nach § 1 Absatz 1 veräußerte monatliche Einspeisung aufgeschlüsselt nach den Technologiegruppen Windenergie an Land, Windenergie auf See, solare Strahlungsenergie, Biomasse und Sonstige; sie ist für jeden Kalendermonat bis zum Ablauf des zehnten Werktags des Folgemonats zu veröffentlichen;</w:t>
      </w:r>
    </w:p>
    <w:p>
      <w:pPr>
        <w:ind w:left="420"/>
      </w:pPr>
      <w:r>
        <w:t xml:space="preserve">3. die nach § 1 Absatz 2 veräußerten und erworbenen Strommengen aufgeschlüsselt nach Handelsplätzen in viertelstündlicher Auflösung; sie sind spätestens bis 18 Uhr desselben Tages zu veröffentlichen;</w:t>
      </w:r>
    </w:p>
    <w:p>
      <w:pPr>
        <w:ind w:left="420"/>
      </w:pPr>
      <w:r>
        <w:t xml:space="preserve">4. die nach § 1 Absatz 3 veräußerten und erworbenen Strommengen in viertelstündlicher Auflösung; sie sind spätestens am Folgetag bis 18 Uhr zu veröffentlichen;</w:t>
      </w:r>
    </w:p>
    <w:p>
      <w:pPr>
        <w:ind w:left="420"/>
      </w:pPr>
      <w:r>
        <w:t xml:space="preserve">5. die Differenz zwischen den gemäß der jeweils aktuellsten vor Handelsschluss verfügbaren Prognose insgesamt zu veräußernden Strommengen und den hierfür insgesamt nach § 1 Absatz 1 bis 3 veräußerten und erworbenen Strommengen; sie ist in viertelstündlicher Auflösung spätestens am Folgetag bis 18 Uhr zu veröffentlichen;</w:t>
      </w:r>
    </w:p>
    <w:p>
      <w:pPr>
        <w:ind w:left="420"/>
      </w:pPr>
      <w:r>
        <w:t xml:space="preserve">6. die in Anspruch genommene Ausgleichsenergie zum Ausgleich des EEG-Bilanzkreises in viertelstündlicher Auflösung; sie ist unverzüglich nach Vorlage der Bilanzkreisabrechnung zu veröffentlichen;</w:t>
      </w:r>
    </w:p>
    <w:p>
      <w:pPr>
        <w:ind w:left="420"/>
      </w:pPr>
      <w:r>
        <w:t xml:space="preserve">7. die Angaben nach § 72 Absatz 1 Nummer 1 Buchstabe c des Erneuerbare-Energien-Gesetzes; sie sind für jeden Kalendermonat bis zum Ablauf des zehnten Werktags des Folgemonats zu veröffentlichen.</w:t>
      </w:r>
    </w:p>
    <w:p>
      <w:r>
        <w:rPr>
          <w:color w:val="555555"/>
          <w:sz w:val="17"/>
        </w:rPr>
        <w:t xml:space="preserve">Zitiervorschlag: § 2 AusglMechAV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https://recht.nulegal.eu/gesetze/AusglMechAV/2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