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AusglMechAV — Vermarktung an Spotmärkten</w:t>
      </w:r>
    </w:p>
    <w:p>
      <w:r>
        <w:rPr>
          <w:color w:val="555555"/>
          <w:sz w:val="18"/>
        </w:rPr>
        <w:t xml:space="preserve">Erneuerbare-Energien-Ausführungsverordnung</w:t>
      </w:r>
    </w:p>
    <w:p>
      <w:r>
        <w:rPr>
          <w:color w:val="555555"/>
          <w:sz w:val="18"/>
        </w:rPr>
        <w:t xml:space="preserve">Historische Fassung: Stand 01.10.2021 bis 01.01.2023. Dies ist nicht die aktuelle Fassung.</w:t>
      </w:r>
    </w:p>
    <w:p>
      <w:r>
        <w:t xml:space="preserve">(1) Am vortägigen Spotmarkt einer Strombörse ist über eine marktgekoppelte Auktion mit stündlichen Handelsprodukten für jede Stunde des Folgetages die gemäß aktueller Prognose vorhergesagte stündliche Einspeisung des nach § 19 Absatz 1 Nummer 2 des Erneuerbare-Energien-Gesetzes zu vergütenden oder nach § 13a Absatz 1a des Energiewirtschaftsgesetzes bilanziell auszugleichenden Stroms vollständig zu veräußern. Verkaufsangebote nach Satz 1 sind preisunabhängig einzustellen.</w:t>
      </w:r>
    </w:p>
    <w:p>
      <w:r>
        <w:t xml:space="preserve">(2) Differenzen zwischen der gemäß jeweils aktueller Prognose vorhergesagten viertelstündlichen Einspeisung und der nach Absatz 1 zu vermarktenden stündlichen Einspeisung können am Spotmarkt einer Strombörse für jede Viertelstunde des Folgetages über Auktionen mit viertelstündlichen Handelsprodukten erworben oder veräußert werden. Gebote nach Satz 1 können preislimitiert eingestellt werden.</w:t>
      </w:r>
    </w:p>
    <w:p>
      <w:r>
        <w:t xml:space="preserve">(3) Differenzen zwischen der nach aktualisierten Prognosen vorhergesagten viertelstündlichen Einspeisung und den bereits veräußerten und erworbenen Strommengen sind über den untertägigen kontinuierlichen Handel am Spotmarkt einer Strombörse zu erwerben oder zu veräußern. Mit Abschluss der letzten Handelsmöglichkeiten nach Satz 1 müssen die Differenzen nach Satz 1 vollständig ausgeglichen sein.</w:t>
      </w:r>
    </w:p>
    <w:p>
      <w:r>
        <w:t xml:space="preserve">(4) Die Prognosen über den nach § 19 Absatz 1 Nummer 2 des Erneuerbare-Energien-Gesetzes zu vergütenden oder nach § 13a Absatz 1a des Energiewirtschaftsgesetzes bilanziell auszugleichenden Strom sind nach dem Stand von Wissenschaft und Technik zu erstellen.</w:t>
      </w:r>
    </w:p>
    <w:p>
      <w:r>
        <w:t xml:space="preserve">(5) Eine gemeinsame Vermarktung nach § 2 Absatz 1 Satz 1 der Erneuerbare-Energien-Verordnung schließt die Möglichkeit ein, Vermarktungstätigkeiten auf einen anderen Übertragungsnetzbetreiber im Rahmen eines Dienstleistungsverhältnisses zu übertragen.</w:t>
      </w:r>
    </w:p>
    <w:p>
      <w:r>
        <w:rPr>
          <w:color w:val="555555"/>
          <w:sz w:val="17"/>
        </w:rPr>
        <w:t xml:space="preserve">Zitiervorschlag: § 1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