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AusglLeistG — Zuständigkeit und Verfahren</w:t>
      </w:r>
    </w:p>
    <w:p>
      <w:r>
        <w:rPr>
          <w:color w:val="555555"/>
          <w:sz w:val="18"/>
        </w:rPr>
        <w:t xml:space="preserve">Ausgleichsleistungsgesetz</w:t>
      </w:r>
    </w:p>
    <w:p>
      <w:r>
        <w:rPr>
          <w:color w:val="555555"/>
          <w:sz w:val="18"/>
        </w:rPr>
        <w:t xml:space="preserve">Stand: 10.06.2019 (konsolidierte Textfassung, kein amtliches Inkrafttretensdatum)</w:t>
      </w:r>
    </w:p>
    <w:p>
      <w:r>
        <w:t xml:space="preserve">(1) Ansprüche auf Ausgleichsleistungen sind bei den Ämtern zur Regelung offener Vermögensfragen, soweit für die Rückgabe des entzogenen Vermögenswertes das Bundesamt für zentrale Dienste und offene Vermögensfragen oder die Landesämter zur Regelung offener Vermögensfragen zuständig wären, bei diesen geltend zu machen. Bereits gestellte, noch anhängige Anträge nach dem Vermögensgesetz, die nach § 1 Abs. 8 Buchstabe a des Vermögensgesetzes ausgeschlossen sind, werden als Anträge nach diesem Gesetz gewertet. Die Antragsfrist endet mit Ablauf des sechsten Monats nach Inkrafttreten dieses Gesetzes (Ausschlussfrist).</w:t>
      </w:r>
    </w:p>
    <w:p>
      <w:r>
        <w:t xml:space="preserve">(2) Für die Durchführung der §§ 1, 2 und 5 dieses Gesetzes gelten die Bestimmungen des Vermögensgesetzes und des § 12 Abs. 1 Satz 2 des Entschädigungsgesetzes entsprechend.</w:t>
      </w:r>
    </w:p>
    <w:p>
      <w:r>
        <w:t xml:space="preserve">(3) Für Streitigkeiten im Zusammenhang mit der Durchführung der §§ 3, 3a und der auf Grund von § 4 Abs. 3 ergangenen Verordnung sind die ordentlichen Gerichte zuständig.</w:t>
      </w:r>
    </w:p>
    <w:p>
      <w:r>
        <w:rPr>
          <w:color w:val="555555"/>
          <w:sz w:val="17"/>
        </w:rPr>
        <w:t xml:space="preserve">Zitiervorschlag: § 6 AusglLeistG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https://recht.nulegal.eu/gesetze/AusglLeistG/6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