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AusglLeistG — Verordnungsermächtigung</w:t>
      </w:r>
    </w:p>
    <w:p>
      <w:r>
        <w:rPr>
          <w:color w:val="555555"/>
          <w:sz w:val="18"/>
        </w:rPr>
        <w:t xml:space="preserve">Ausgleichsleistungsgesetz</w:t>
      </w:r>
    </w:p>
    <w:p>
      <w:r>
        <w:rPr>
          <w:color w:val="555555"/>
          <w:sz w:val="18"/>
        </w:rPr>
        <w:t xml:space="preserve">Stand: 10.06.2019 (konsolidierte Textfassung, kein amtliches Inkrafttretensdatum)</w:t>
      </w:r>
    </w:p>
    <w:p>
      <w:r>
        <w:t xml:space="preserve">Die Bundesregierung wird ermächtigt, durch Rechtsverordnung mit Zustimmung des Bundesrates Einzelheiten der Erwerbsmöglichkeit nach § 3 und des Verfahrens zu regeln. In der Verordnung kann auch bestimmt werden</w:t>
      </w:r>
    </w:p>
    <w:p>
      <w:pPr>
        <w:ind w:left="420"/>
      </w:pPr>
      <w:r>
        <w:t xml:space="preserve">1. das Verfahren zur Ermittlung der Verkehrswerte nach § 3 Abs. 7 Satz 1, Satz 2, Satz 6 und § 3a Abs. 2,</w:t>
      </w:r>
    </w:p>
    <w:p>
      <w:pPr>
        <w:ind w:left="420"/>
      </w:pPr>
      <w:r>
        <w:t xml:space="preserve">1a. dass die Privatisierungsstelle berechtigt ist, einen Erwerbsantrag nach § 3 abzulehnen, wenn der Berechtigte aus von ihm zu vertretenden Gründen die erforderlichen Nachweise nach Aufforderung durch die Privatisierungsstelle nicht innerhalb der gesetzten Frist vorlegt oder ein privatschriftliches Angebot der Privatisierungsstelle nicht innerhalb der hierzu gesetzten Frist zum Abschluss eines notariell beurkundeten Kaufvertrages führt,</w:t>
      </w:r>
    </w:p>
    <w:p>
      <w:pPr>
        <w:ind w:left="420"/>
      </w:pPr>
      <w:r>
        <w:t xml:space="preserve">2. dass Rückabwicklung verlangt werden kann, wenn sich die Zusammensetzung der Gesellschafter einer juristischen Person nach dem begünstigten Erwerb von Flächen in der Weise verändert, dass 25 vom Hundert oder mehr der Anteilswerte von nicht ortsansässigen Personen oder Berechtigten nach § 1 gehalten werden,</w:t>
      </w:r>
    </w:p>
    <w:p>
      <w:pPr>
        <w:ind w:left="420"/>
      </w:pPr>
      <w:r>
        <w:t xml:space="preserve">3. dass bei Nutzungsänderung oder Betriebsaufgabe die Rückabwicklung verlangt werden kann,</w:t>
      </w:r>
    </w:p>
    <w:p>
      <w:pPr>
        <w:ind w:left="420"/>
      </w:pPr>
      <w:r>
        <w:t xml:space="preserve">4. dass jährliche Mitteilungspflichten über etwaige Betriebsaufgaben, Nutzungsänderungen oder Gesellschafter festgelegt werden oder sonstige Maßnahmen zur Verhinderung von missbräuchlicher Inanspruchnahme ergriffen werden,</w:t>
      </w:r>
    </w:p>
    <w:p>
      <w:pPr>
        <w:ind w:left="420"/>
      </w:pPr>
      <w:r>
        <w:t xml:space="preserve">5. dass aus agrarstrukturellen Gründen oder in Härtefällen von einer Rückabwicklung abgesehen werden kann.</w:t>
      </w:r>
    </w:p>
    <w:p>
      <w:r>
        <w:rPr>
          <w:color w:val="555555"/>
          <w:sz w:val="17"/>
        </w:rPr>
        <w:t xml:space="preserve">Zitiervorschlag: § 4 AusglLeistG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https://recht.nulegal.eu/gesetze/AusglLeistG/4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