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3b AusglLeistG — Rechtsnachfolger</w:t>
      </w:r>
    </w:p>
    <w:p>
      <w:r>
        <w:rPr>
          <w:color w:val="555555"/>
          <w:sz w:val="18"/>
        </w:rPr>
        <w:t xml:space="preserve">Ausgleichsleistungsgesetz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Werden von der Treuhandanstalt zu privatisierende landwirtschaftliche oder forstwirtschaftliche Flächen nach § 23a des Treuhandgesetzes übertragen, tritt der Rechtsnachfolger in alle Rechte und Pflichten nach diesem Gesetz und der Flächenerwerbsverordnung ein.</w:t>
      </w:r>
    </w:p>
    <w:p>
      <w:r>
        <w:rPr>
          <w:color w:val="555555"/>
          <w:sz w:val="17"/>
        </w:rPr>
        <w:t xml:space="preserve">Zitiervorschlag: § 3b AusglLeistG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https://recht.nulegal.eu/gesetze/AusglLeistG/3b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