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AusglLeistG — Art und Höhe der Ausgleichsleistung</w:t>
      </w:r>
    </w:p>
    <w:p>
      <w:r>
        <w:rPr>
          <w:color w:val="555555"/>
          <w:sz w:val="18"/>
        </w:rPr>
        <w:t xml:space="preserve">Ausgleichsleistungsgesetz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Ausgleichsleistungen sind vorbehaltlich der §§ 3 und 5 aus dem Entschädigungsfonds nach Maßgabe der §§ 1 und 9 des Entschädigungsgesetzes zu erbringen. Sie werden, soweit dieses Gesetz nicht besondere Regelungen enthält, nach den §§ 1 bis 8 des Entschädigungsgesetzes bemessen und erfüllt. Beim Zusammentreffen mit Entschädigungen nach dem Vermögensgesetz sind die einzelnen Ansprüche vor Anwendung des § 7 des Entschädigungsgesetzes zusammenzurechnen.</w:t>
      </w:r>
    </w:p>
    <w:p>
      <w:r>
        <w:t xml:space="preserve">(2) Auf Reichsmark lautende privatrechtliche geldwerte Ansprüche, die nicht in einen Einheitswert einbezogen sind, sind mit folgendem Anteil am jeweiligen Nennbetrag zu bemessen:</w:t>
      </w:r>
    </w:p>
    <w:p>
      <w:r>
        <w:rPr>
          <w:rFonts w:ascii="Courier New" w:hAnsi="Courier New"/>
          <w:sz w:val="17"/>
        </w:rPr>
        <w:t xml:space="preserve">-    für die ersten 100 Reichsmark:    50 vom Hundert,</w:t>
      </w:r>
    </w:p>
    <w:p>
      <w:r>
        <w:rPr>
          <w:rFonts w:ascii="Courier New" w:hAnsi="Courier New"/>
          <w:sz w:val="17"/>
        </w:rPr>
        <w:t xml:space="preserve">-    für den übersteigenden Betrag bis 1.000 Reichsmark:    10 vom Hundert,</w:t>
      </w:r>
    </w:p>
    <w:p>
      <w:r>
        <w:rPr>
          <w:rFonts w:ascii="Courier New" w:hAnsi="Courier New"/>
          <w:sz w:val="17"/>
        </w:rPr>
        <w:t xml:space="preserve">-    für 1.000 Reichsmark übersteigende Beträge:    5 vom Hundert.</w:t>
      </w:r>
    </w:p>
    <w:p>
      <w:r>
        <w:t xml:space="preserve">(3) Auf Deutsche Mark der Deutschen Notenbank lautende privatrechtliche geldwerte Ansprüche sind mit 50 vom Hundert ihres jeweiligen Nennbetrages zu bemessen.</w:t>
      </w:r>
    </w:p>
    <w:p>
      <w:r>
        <w:t xml:space="preserve">(4) Die Bemessungsgrundlage für in Wertpapieren verbriefte Forderungen ist gemäß § 16 des Beweissicherungs- und Feststellungsgesetzes in der bis zum 30. Juli 1992 geltenden Fassung und § 17 des Feststellungsgesetzes zu ermitteln. Die Ausgleichsleistung beträgt 5 vom Hundert der Bemessungsgrundlage. Lauten Wertpapiere im Sinne des Satzes 1 auf Mark der Deutschen Notenbank, sind die Ausgleichsleistungen mit 50 vom Hundert zu bemessen.</w:t>
      </w:r>
    </w:p>
    <w:p>
      <w:r>
        <w:t xml:space="preserve">(5) Die Summe der Ausgleichsleistungen nach den Absätzen 2 bis 4 darf 10.000 Deutsche Mark nicht überschreiten.</w:t>
      </w:r>
    </w:p>
    <w:p>
      <w:r>
        <w:t xml:space="preserve">(6) Die Bemessungsgrundlage für Rechte, die einen Anteil am Kapital eines Unternehmens vermitteln, ist der Teilbetrag der nach § 4 des Entschädigungsgesetzes zu ermittelnden Bemessungsgrundlage, der dem Verhältnis des Nennbetrages des Anteils zum Gesamtnennbetrag des Kapitals entspricht.</w:t>
      </w:r>
    </w:p>
    <w:p>
      <w:r>
        <w:t xml:space="preserve">(7) Keine Ausgleichsleistungen sind zu gewähren, soweit die Forderungs- oder Anteilsrechte nach den Absätzen 2 bis 6 gegen den ursprünglichen Schuldner oder seinen Rechtsnachfolger wieder durchsetzbar geworden sind.</w:t>
      </w:r>
    </w:p>
    <w:p>
      <w:r>
        <w:rPr>
          <w:color w:val="555555"/>
          <w:sz w:val="17"/>
        </w:rPr>
        <w:t xml:space="preserve">Zitiervorschlag: § 2 AusglLeistG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https://recht.nulegal.eu/gesetze/AusglLeistG/2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