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AusglLeistG — Anspruch auf Ausgleichsleistung</w:t>
      </w:r>
    </w:p>
    <w:p>
      <w:r>
        <w:rPr>
          <w:color w:val="555555"/>
          <w:sz w:val="18"/>
        </w:rPr>
        <w:t xml:space="preserve">Ausgleichsleistungsgesetz</w:t>
      </w:r>
    </w:p>
    <w:p>
      <w:r>
        <w:rPr>
          <w:color w:val="555555"/>
          <w:sz w:val="18"/>
        </w:rPr>
        <w:t xml:space="preserve">Stand: 10.06.2019 (konsolidierte Textfassung, kein amtliches Inkrafttretensdatum)</w:t>
      </w:r>
    </w:p>
    <w:p>
      <w:r>
        <w:t xml:space="preserve">(1) Natürliche Personen, die Vermögenswerte im Sinne des § 2 Abs. 2 des Gesetzes zur Regelung offener Vermögensfragen (Vermögensgesetz) durch entschädigungslose Enteignungen auf besatzungsrechtlicher oder besatzungshoheitlicher Grundlage in dem in Artikel 3 des Einigungsvertrages genannten Gebiet (Beitrittsgebiet) verloren haben, oder ihre Erben oder weiteren Erben (Erbeserben) erhalten eine Ausgleichsleistung nach Maßgabe dieses Gesetzes. § 1 Abs. 7 des Vermögensgesetzes bleibt unberührt.</w:t>
      </w:r>
    </w:p>
    <w:p>
      <w:r>
        <w:t xml:space="preserve">(1a) Ein Anspruch auf Ausgleichsleistung besteht im Fall der Einziehung von im Beitrittsgebiet belegenen Vermögenswerten durch Entscheidung eines ausländischen Gerichts auch, wenn hinsichtlich der mit der Entscheidung verbundenen Freiheitsentziehung eine Bescheinigung nach § 10 Abs. 4 des Häftlingshilfegesetzes erteilt worden ist. § 1 Abs. 7 des Vermögensgesetzes bleibt unberührt.</w:t>
      </w:r>
    </w:p>
    <w:p>
      <w:r>
        <w:t xml:space="preserve">(2) Ein Eingriff auf besatzungsrechtlicher oder besatzungshoheitlicher Grundlage liegt bei der Enteignung von Vermögen einer Gesellschaft oder einer Genossenschaft vor, wenn diese zu einer Minderung des Wertes der Anteile an der Gesellschaft oder der Geschäftsguthaben der Mitglieder der Genossenschaft geführt hat. Das Gleiche gilt für Begünstigte (§ 18b Abs. 1 Satz 1 des Vermögensgesetzes) früherer dinglicher Rechte an Grundstücken, die auf besatzungsrechtlicher oder besatzungshoheitlicher Grundlage enteignet wurden. § 1 Abs. 2 Satz 3 und 4 des Entschädigungsgesetzes gilt entsprechend. Ist das Vermögen einer Familienstiftung oder eines Familienvereins mit Sitz im Beitrittsgebiet enteignet worden, sind den daran Beteiligten Ausgleichsleistungen so zu gewähren, als wären sie an dem Vermögen der Familienstiftung oder des Familienvereins zur gesamten Hand berechtigt gewesen; die Achtzehnte Verordnung zur Durchführung des Feststellungsgesetzes vom 11. November 1964 (BGBl. I S. 855) gilt entsprechend.</w:t>
      </w:r>
    </w:p>
    <w:p>
      <w:r>
        <w:t xml:space="preserve">(3) Ausgleichsleistungen werden nicht gewährt für</w:t>
      </w:r>
    </w:p>
    <w:p>
      <w:pPr>
        <w:ind w:left="420"/>
      </w:pPr>
      <w:r>
        <w:t xml:space="preserve">1. Schäden, die durch Wegnahme von Wirtschaftsgütern auf Veranlassung der Besatzungsmacht entstanden sind, sofern diese Wirtschaftsgüter der Volkswirtschaft eines fremden Staates zugeführt wurden oder bei der Wegnahme eine dahingehende Absicht bestand (Reparationsschäden im Sinne des § 2 Abs. 1 bis 4 und 6 bis 7 des Reparationsschädengesetzes),</w:t>
      </w:r>
    </w:p>
    <w:p>
      <w:pPr>
        <w:ind w:left="420"/>
      </w:pPr>
      <w:r>
        <w:t xml:space="preserve">2. Schäden, die dadurch entstanden sind, dass Wirtschaftsgüter, die tatsächlich oder angeblich während des Zweiten Weltkrieges aus den von deutschen Truppen besetzten oder unmittelbar oder mittelbar kontrollierten Gebieten beschafft oder fortgeführt worden sind, durch Maßnahmen oder auf Veranlassung der Besatzungsmacht in der Absicht oder mit der Begründung weggenommen worden sind, sie in diese Gebiete zu bringen oder zurückzuführen (Restitutionsschäden im Sinne des § 3 des Reparationsschädengesetzes),</w:t>
      </w:r>
    </w:p>
    <w:p>
      <w:pPr>
        <w:ind w:left="420"/>
      </w:pPr>
      <w:r>
        <w:t xml:space="preserve">3. Schäden, die dadurch entstanden sind, dass Wirtschaftsgüter zum Zwecke der Beseitigung deutschen Wirtschaftspotentials zerstört, beschädigt oder, ohne dass die sonstigen Voraussetzungen des § 2 Abs. 1 des Reparationsschädengesetzes vorliegen, weggenommen worden sind (Zerstörungsschäden im Sinne des § 4 des Reparationsschädengesetzes),</w:t>
      </w:r>
    </w:p>
    <w:p>
      <w:pPr>
        <w:ind w:left="420"/>
      </w:pPr>
      <w:r>
        <w:t xml:space="preserve">4. Verluste an den im Allgemeinen Kriegsfolgengesetz in der im Bundesgesetzblatt Teil III, Gliederungsnummer 653-1, veröffentlichten bereinigten Fassung genannten Vermögenswerten,</w:t>
      </w:r>
    </w:p>
    <w:p>
      <w:pPr>
        <w:ind w:left="420"/>
      </w:pPr>
      <w:r>
        <w:t xml:space="preserve">5. Gläubigerverluste, die im Zusammenhang mit der Neuordnung des Geldwesens im Beitrittsgebiet stehen,</w:t>
      </w:r>
    </w:p>
    <w:p>
      <w:pPr>
        <w:ind w:left="420"/>
      </w:pPr>
      <w:r>
        <w:t xml:space="preserve">6. verbriefte Rechte, die der Wertpapierbereinigung unterlagen oder unterliegen,</w:t>
      </w:r>
    </w:p>
    <w:p>
      <w:pPr>
        <w:ind w:left="420"/>
      </w:pPr>
      <w:r>
        <w:t xml:space="preserve">7. auf ausländische Währung lautende Wertpapiere,</w:t>
      </w:r>
    </w:p>
    <w:p>
      <w:pPr>
        <w:ind w:left="420"/>
      </w:pPr>
      <w:r>
        <w:t xml:space="preserve">8. Schuldverschreibungen von Gebietskörperschaften und</w:t>
      </w:r>
    </w:p>
    <w:p>
      <w:pPr>
        <w:ind w:left="420"/>
      </w:pPr>
      <w:r>
        <w:t xml:space="preserve">9. Ansprüche, die in § 1 Abs. 8 Buchstabe c und d des Vermögensgesetzes genannt sind.</w:t>
      </w:r>
    </w:p>
    <w:p>
      <w:r>
        <w:t xml:space="preserve">(4) Leistungen nach diesem Gesetz werden nicht gewährt, wenn der nach den Absätzen 1 und 2 Berechtigte oder derjenige, von dem er seine Rechte ableitet, oder das enteignete Unternehmen gegen die Grundsätze der Menschlichkeit oder Rechtsstaatlichkeit verstoßen, in schwerwiegendem Maße seine Stellung zum eigenen Vorteil oder zum Nachteil anderer missbraucht oder dem nationalsozialistischen oder dem kommunistischen System in der sowjetisch besetzten Zone oder in der Deutschen Demokratischen Republik erheblichen Vorschub geleistet hat.</w:t>
      </w:r>
    </w:p>
    <w:p>
      <w:r>
        <w:rPr>
          <w:color w:val="555555"/>
          <w:sz w:val="17"/>
        </w:rPr>
        <w:t xml:space="preserve">Zitiervorschlag: § 1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AusglLeistG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