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AusglFoG 1965 — Ankaufsfonds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 der Deutschen Bundesbank bestehende Fonds zum Ankauf von Ausgleichsforderungen (Ankaufsfonds) ist eine rechtlich unselbständige Einrichtung der Deutschen Bundesbank.</w:t>
      </w:r>
    </w:p>
    <w:p>
      <w:r>
        <w:t xml:space="preserve">(2) Die dem Ankaufsfonds bisher zugeführten Ausgleichsforderungen und anderen Mittel bleiben im Bestand des Fonds.</w:t>
      </w:r>
    </w:p>
    <w:p>
      <w:r>
        <w:t xml:space="preserve">(3) Die Deutsche Bundesbank veröffentlicht gleichzeitig mit dem Jahresabschluß einen Bericht über den Stand des Ankaufsfonds.</w:t>
      </w:r>
    </w:p>
    <w:p>
      <w:r>
        <w:rPr>
          <w:color w:val="555555"/>
          <w:sz w:val="17"/>
        </w:rPr>
        <w:t xml:space="preserve">Zitiervorschlag: § 8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