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AusglFoG 1965 — Änderung von Ausgleichsforderungen</w:t>
      </w:r>
    </w:p>
    <w:p>
      <w:r>
        <w:rPr>
          <w:color w:val="555555"/>
          <w:sz w:val="18"/>
        </w:rPr>
        <w:t xml:space="preserve">Gesetz über die Tilgung von Ausgleichsforderungen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Tilgungsleistungen, die der Schuldner erst nach dem Zeitpunkt bewirkt, an dem sie nach §§ 2 und 3 zu entrichten sind, sind von diesem Zeitpunkt an bis zur Zahlung mit jährlich 5 vom Hundert zu verzinsen. Für die Verzinsung der Ausgleichsforderung und die Berechnung der Tilgungsleistungen nach § 2 gelten die nachgezahlten Beträge als in dem Zeitpunkt geleistet, an dem sie nach § 3 hätten entrichtet werden müssen.</w:t>
      </w:r>
    </w:p>
    <w:p>
      <w:r>
        <w:t xml:space="preserve">(2) Zuviel gezahlte Tilgungsleistungen sind vom Gläubiger mit jährlich 5 vom Hundert von dem Zeitpunkt an zu verzinsen, zu dem sie entrichtet worden sind.</w:t>
      </w:r>
    </w:p>
    <w:p>
      <w:r>
        <w:t xml:space="preserve">(3) Nachzuzahlende oder zu erstattende Tilgungsleistungen sind spätestens mit der Nachzahlung oder Erstattung von Zinsen auf die Ausgleichsforderung, bei einer unverzinslichen Ausgleichsforderung unverzüglich zu bewirken.</w:t>
      </w:r>
    </w:p>
    <w:p>
      <w:r>
        <w:rPr>
          <w:color w:val="555555"/>
          <w:sz w:val="17"/>
        </w:rPr>
        <w:t xml:space="preserve">Zitiervorschlag: § 4 AusglFoG 1965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https://recht.nulegal.eu/gesetze/AusglFoG%201965/4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