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AusglFoG 1965 — Tilgung</w:t>
      </w:r>
    </w:p>
    <w:p>
      <w:r>
        <w:rPr>
          <w:color w:val="555555"/>
          <w:sz w:val="18"/>
        </w:rPr>
        <w:t xml:space="preserve">Gesetz über die Tilgung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Vom 1. Januar 1956 an werden verzinsliche Ausgleichsforderungen halbjährlich mit 0,5 vom Hundert des gewährten Betrages zuzüglich der durch die fortschreitende Tilgung ersparten Zinsen, unverzinsliche Ausgleichsforderungen halbjährlich mit 2 vom Hundert des gewährten Betrages getilgt. Leistungen, die ein Schuldner vor Inkrafttreten dieses Gesetzes entsprechend dem Satz 1 zum Zwecke der Tilgung bewirkt hat, gelten als Tilgung im Sinne dieses Gesetzes.</w:t>
      </w:r>
    </w:p>
    <w:p>
      <w:r>
        <w:rPr>
          <w:color w:val="555555"/>
          <w:sz w:val="17"/>
        </w:rPr>
        <w:t xml:space="preserve">Zitiervorschlag: § 2 AusglFoG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https://recht.nulegal.eu/gesetze/AusglFoG%201965/2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