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AusglFoG 1965 — Auflösung des Ankaufsfonds</w:t>
      </w:r>
    </w:p>
    <w:p>
      <w:r>
        <w:rPr>
          <w:color w:val="555555"/>
          <w:sz w:val="18"/>
        </w:rPr>
        <w:t xml:space="preserve">Gesetz über die Tilgung von Ausgleichsforderungen</w:t>
      </w:r>
    </w:p>
    <w:p>
      <w:r>
        <w:rPr>
          <w:color w:val="555555"/>
          <w:sz w:val="18"/>
        </w:rPr>
        <w:t xml:space="preserve">Stand: 10.06.2019 (konsolidierte Textfassung, kein amtliches Inkrafttretensdatum)</w:t>
      </w:r>
    </w:p>
    <w:p>
      <w:r>
        <w:t xml:space="preserve">(1) Hat der Schuldner eine Ausgleichsforderung zu einem höheren Betrag getilgt, als er sie nach diesem Gesetz unter Berücksichtigung des vorzeitigen Erlöschens nach Absatz 2 zu tilgen gehabt hätte, so ist ihm der Mehrbetrag aus den Mitteln des Ankaufsfonds zu erstatten, sobald der Ankaufsfonds alle noch bestehenden Ausgleichsforderungen umfaßt.</w:t>
      </w:r>
    </w:p>
    <w:p>
      <w:r>
        <w:t xml:space="preserve">(2) Nach Erfüllung der sich aus Absatz 1 ergebenden Verpflichtungen wird der Ankaufsfonds aufgelöst. Mit der Auflösung des Ankaufsfonds erlöschen die zu seinem Bestand gehörenden Ausgleichsforderungen.</w:t>
      </w:r>
    </w:p>
    <w:p>
      <w:r>
        <w:t xml:space="preserve">(3) Die im Zeitpunkt der Auflösung noch vorhandenen sonstigen Mittel des Ankaufsfonds sind an den Bund abzuführen. Im Zeitpunkt der Auflösung noch nicht fällige Zinsen auf angekaufte Ausgleichsforderungen sind nicht zu entrichten.</w:t>
      </w:r>
    </w:p>
    <w:p>
      <w:r>
        <w:rPr>
          <w:color w:val="555555"/>
          <w:sz w:val="17"/>
        </w:rPr>
        <w:t xml:space="preserve">Zitiervorschlag: § 10 AusglFoG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https://recht.nulegal.eu/gesetze/AusglFoG%201965/10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AusglFoG 1965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