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AusgStGZV (Brandenburg) — Inkrafttreten</w:t>
      </w:r>
    </w:p>
    <w:p>
      <w:r>
        <w:rPr>
          <w:color w:val="555555"/>
          <w:sz w:val="18"/>
        </w:rPr>
        <w:t xml:space="preserve">Ausgangsstoffgesetz-Zuständigkeitsverordnung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am Tag nach der Verkündung in Kraft.</w:t>
      </w:r>
    </w:p>
    <w:p>
      <w:r>
        <w:t xml:space="preserve">Einzelnorm</w:t>
      </w:r>
    </w:p>
    <w:p>
      <w:r>
        <w:t xml:space="preserve">Potsdam, den 19. Januar 2022</w:t>
      </w:r>
    </w:p>
    <w:p>
      <w:r>
        <w:t xml:space="preserve">Die Landesregierung des Landes Brandenburg</w:t>
      </w:r>
    </w:p>
    <w:p>
      <w:r>
        <w:t xml:space="preserve">Der Ministerpräsident</w:t>
      </w:r>
    </w:p>
    <w:p>
      <w:r>
        <w:t xml:space="preserve">Dr. Dietmar Woidke</w:t>
      </w:r>
    </w:p>
    <w:p>
      <w:r>
        <w:t xml:space="preserve">Die Ministerin für Soziales, Gesundheit,</w:t>
      </w:r>
    </w:p>
    <w:p>
      <w:r>
        <w:t xml:space="preserve">Integration und Verbraucherschutz</w:t>
      </w:r>
    </w:p>
    <w:p>
      <w:r>
        <w:t xml:space="preserve">Ursula Nonnemacher</w:t>
      </w:r>
    </w:p>
    <w:p>
      <w:r>
        <w:t xml:space="preserve">Der Minister des Innern und für Kommunales</w:t>
      </w:r>
    </w:p>
    <w:p>
      <w:r>
        <w:t xml:space="preserve">Michael Stübgen</w:t>
      </w:r>
    </w:p>
    <w:p>
      <w:r>
        <w:rPr>
          <w:color w:val="555555"/>
          <w:sz w:val="17"/>
        </w:rPr>
        <w:t xml:space="preserve">Zitiervorschlag: § 2 AusgStGZV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https://recht.nulegal.eu/gesetze/AusgStGZV/2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