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AusgStGZV (Brandenburg) — Zuständigkeiten</w:t>
      </w:r>
    </w:p>
    <w:p>
      <w:r>
        <w:rPr>
          <w:color w:val="555555"/>
          <w:sz w:val="18"/>
        </w:rPr>
        <w:t xml:space="preserve">Ausgangsstoffgesetz-Zuständigkeitsverordnung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Landesamt für Arbeitsschutz, Verbraucherschutz und Gesundheit ist Inspektionsbehörde nach § 5 des Ausgangsstoffgesetzes und darüber hinaus zuständig für die Durchführung der sonstigen Aufgaben nach dem Ausgangsstoffgesetz, soweit nicht nach Absatz 2 das Polizeipräsidium zuständig ist. Das Landesamt für Arbeitsschutz, Verbraucherschutz und Gesundheit ist auch zuständig für die Verfolgung und Ahndung von Ordnungswidrigkeiten nach § 14 des Ausgangsstoffgesetzes.</w:t>
      </w:r>
    </w:p>
    <w:p>
      <w:r>
        <w:t xml:space="preserve">(2) Das Polizeipräsidium ist Kontaktstelle nach § 3 des Ausgangsstoffgesetzes. Es führt auch die Schulungsmaßnahmen nach § 11 Absatz 1 Nummer 1 des Ausgangsstoffgesetzes durch und übermittelt dem Bundeskriminalamt jährlich Informationen nach § 12 Satz 2 Nummer 1 des Ausgangsstoffgesetzes.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AusgStGZV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https://recht.nulegal.eu/gesetze/AusgStGZV/1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