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AusgStG — Einziehung</w:t>
      </w:r>
    </w:p>
    <w:p>
      <w:r>
        <w:rPr>
          <w:color w:val="555555"/>
          <w:sz w:val="18"/>
        </w:rPr>
        <w:t xml:space="preserve">Ausgangsstoffgesetz</w:t>
      </w:r>
    </w:p>
    <w:p>
      <w:r>
        <w:rPr>
          <w:color w:val="555555"/>
          <w:sz w:val="18"/>
        </w:rPr>
        <w:t xml:space="preserve">Stand: 15.01.2026 (konsolidierte Textfassung, kein amtliches Inkrafttretensdatum)</w:t>
      </w:r>
    </w:p>
    <w:p>
      <w:r>
        <w:t xml:space="preserve">Gegenstände, auf die sich eine Straftat nach § 13 bezieht, können eingezogen werden. § 74a des Strafgesetzbuchs ist anzuwenden.</w:t>
      </w:r>
    </w:p>
    <w:p>
      <w:r>
        <w:rPr>
          <w:color w:val="555555"/>
          <w:sz w:val="17"/>
        </w:rPr>
        <w:t xml:space="preserve">Zitiervorschlag: § 15 AusgStG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https://recht.nulegal.eu/gesetze/AusgStG/15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