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AusgStG — Strafvorschriften</w:t>
      </w:r>
    </w:p>
    <w:p>
      <w:r>
        <w:rPr>
          <w:color w:val="555555"/>
          <w:sz w:val="18"/>
        </w:rPr>
        <w:t xml:space="preserve">Ausgangsstoffgesetz</w:t>
      </w:r>
    </w:p>
    <w:p>
      <w:r>
        <w:rPr>
          <w:color w:val="555555"/>
          <w:sz w:val="18"/>
        </w:rPr>
        <w:t xml:space="preserve">Stand: 15.01.2026 (konsolidierte Textfassung, kein amtliches Inkrafttretensdatum)</w:t>
      </w:r>
    </w:p>
    <w:p>
      <w:r>
        <w:t xml:space="preserve">(1) Mit Freiheitsstrafe bis zu drei Jahren oder mit Geldstrafe wird bestraft, wer entgegen Artikel 5 Absatz 1 der Verordnung (EU) 2019/1148 des Europäischen Parlaments und des Rates vom 20. Juni 2019 über die Vermarktung und Verwendung von Ausgangsstoffen für Explosivstoffe, zur Änderung der Verordnung (EG) Nr. 1907/2006 und zur Aufhebung der Verordnung (EU) Nr. 98/2013 (ABl. L 186 vom 11.7.2019, S. 1; L 231 vom 6.9.2019, S. 30) einen beschränkten Ausgangsstoff für Explosivstoffe bereitstellt, verbringt, besitzt oder verwendet.</w:t>
      </w:r>
    </w:p>
    <w:p>
      <w:r>
        <w:t xml:space="preserve">(2) Mit Freiheitsstrafe von sechs Monaten bis zu fünf Jahren wird bestraft, wer in den Fällen des Absatzes 1 gewerbsmäßig oder als Mitglied einer Bande handelt, die sich zur fortgesetzten Begehung solcher Taten verbunden hat.</w:t>
      </w:r>
    </w:p>
    <w:p>
      <w:r>
        <w:t xml:space="preserve">(3) Der Versuch ist strafbar.</w:t>
      </w:r>
    </w:p>
    <w:p>
      <w:r>
        <w:rPr>
          <w:color w:val="555555"/>
          <w:sz w:val="17"/>
        </w:rPr>
        <w:t xml:space="preserve">Zitiervorschlag: § 13 AusgStG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https://recht.nulegal.eu/gesetze/AusgStG/13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