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AusgStG — Berichterstattung</w:t>
      </w:r>
    </w:p>
    <w:p>
      <w:r>
        <w:rPr>
          <w:color w:val="555555"/>
          <w:sz w:val="18"/>
        </w:rPr>
        <w:t xml:space="preserve">Ausgangsstoffgesetz</w:t>
      </w:r>
    </w:p>
    <w:p>
      <w:r>
        <w:rPr>
          <w:color w:val="555555"/>
          <w:sz w:val="18"/>
        </w:rPr>
        <w:t xml:space="preserve">Stand: 07.02.2021 (konsolidierte Textfassung, kein amtliches Inkrafttretensdatum)</w:t>
      </w:r>
    </w:p>
    <w:p>
      <w:r>
        <w:t xml:space="preserve">Zuständig für die Berichterstattung gegenüber der Europäischen Kommission nach Artikel 19 Absatz 1 der Verordnung (EU) 2019/1148 ist das Bundeskriminalamt. Ab dem Jahr 2022 übermitteln die Länder dem Bundeskriminalamt jeweils spätestens am 10. Januar eines jeden Jahres in zusammengefasster Form die nach Artikel 19 Absatz 1 der Verordnung (EU) 2019/1148 erforderlichen Informationen über</w:t>
      </w:r>
    </w:p>
    <w:p>
      <w:pPr>
        <w:ind w:left="420"/>
      </w:pPr>
      <w:r>
        <w:t xml:space="preserve">1. die Anzahl gemeldeter verdächtiger Transaktionen und der Fälle von Abhandenkommen und Diebstahl erheblicher Mengen,</w:t>
      </w:r>
    </w:p>
    <w:p>
      <w:pPr>
        <w:ind w:left="420"/>
      </w:pPr>
      <w:r>
        <w:t xml:space="preserve">2. die nach § 11 Absatz 1 Nummer 2 durchgeführten Sensibilisierungsmaßnahmen und</w:t>
      </w:r>
    </w:p>
    <w:p>
      <w:pPr>
        <w:ind w:left="420"/>
      </w:pPr>
      <w:r>
        <w:t xml:space="preserve">3. die nach Artikel 11 der Verordnung (EU) 2019/1148 durchgeführten Inspektionen, einschließlich der Anzahl der Inspektionen und der erfassten Wirtschaftsteilnehmer.</w:t>
      </w:r>
    </w:p>
    <w:p>
      <w:r>
        <w:rPr>
          <w:color w:val="555555"/>
          <w:sz w:val="17"/>
        </w:rPr>
        <w:t xml:space="preserve">Zitiervorschlag: § 12 AusgStG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https://recht.nulegal.eu/gesetze/AusgStG/12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