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AusgStG — Schulungs- und Sensibilisierungsmaßnahmen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Die Länder führen die nach der Verordnung (EU) 2019/1148 vorgesehenen</w:t>
      </w:r>
    </w:p>
    <w:p>
      <w:pPr>
        <w:ind w:left="420"/>
      </w:pPr>
      <w:r>
        <w:t xml:space="preserve">1. Schulungsmaßnahmen nach Artikel 10 Absatz 1 Satz 1 für ihre eigenen Behörden sowie</w:t>
      </w:r>
    </w:p>
    <w:p>
      <w:pPr>
        <w:ind w:left="420"/>
      </w:pPr>
      <w:r>
        <w:t xml:space="preserve">2. Sensibilisierungsmaßnahmen nach Artikel 10 Absatz 2 für Wirtschaftsteilnehmer mit Geschäftssitz in dem jeweiligen Land</w:t>
      </w:r>
    </w:p>
    <w:p>
      <w:r>
        <w:t xml:space="preserve">als eigene Angelegenheit durch.</w:t>
      </w:r>
    </w:p>
    <w:p>
      <w:r>
        <w:t xml:space="preserve">(2) Die Schulungsmaßnahmen für die Behörden des Bundes werden vom Bundeskriminalamt durchgeführt. An den Schulungsmaßnahmen nach Satz 1 können nach Maßgabe freier Plätze auch Mitarbeiter von Behörden der Länder teilnehmen.</w:t>
      </w:r>
    </w:p>
    <w:p>
      <w:r>
        <w:rPr>
          <w:color w:val="555555"/>
          <w:sz w:val="17"/>
        </w:rPr>
        <w:t xml:space="preserve">Zitiervorschlag: § 11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