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AusfErstV 1996</w:t>
      </w:r>
    </w:p>
    <w:p>
      <w:r>
        <w:rPr>
          <w:color w:val="555555"/>
          <w:sz w:val="18"/>
        </w:rPr>
        <w:t xml:space="preserve">Ausfuhrerstattungsverordnung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1, des § 13 Abs. 1 Satz 1 sowie des § 15 Satz 1 in Verbindung mit § 16 und § 31 Abs. 2 Satz 1 Nr. 1 des Gesetzes zur Durchführung der Gemeinsamen Marktorganisationen in der Fassung der Bekanntmachung vom 20. September 1995 (BGBl. I S. 1146) verordnet das Bundesministerium für Ernährung, Landwirtschaft und Forsten im Einvernehmen mit den Bundesministerien der Finanzen und für Wirtschaft und des § 12 Abs. 3 des Finanzverwaltungsgesetzes vom 30. August 1971 (BGBl. I S. 1426, 1427), der durch Artikel 1 Nr. 4 Buchstabe b des Gesetzes vom 14. Dezember 1984 (BGBl. I S. 1493) geändert worden ist, verordnet das Bundesministerium der Finanzen:</w:t>
      </w:r>
    </w:p>
    <w:p>
      <w:r>
        <w:rPr>
          <w:color w:val="555555"/>
          <w:sz w:val="17"/>
        </w:rPr>
        <w:t xml:space="preserve">Zitiervorschlag: Eingangsformel AusfErstV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https://recht.nulegal.eu/gesetze/AusfErstV%201996/eingangsformel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