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AusfErstV 1996 — Anwendungsvorschrift</w:t>
      </w:r>
    </w:p>
    <w:p>
      <w:r>
        <w:rPr>
          <w:color w:val="555555"/>
          <w:sz w:val="18"/>
        </w:rPr>
        <w:t xml:space="preserve">Ausfuhrerstattungsverordnung</w:t>
      </w:r>
    </w:p>
    <w:p>
      <w:r>
        <w:rPr>
          <w:color w:val="555555"/>
          <w:sz w:val="18"/>
        </w:rPr>
        <w:t xml:space="preserve">Stand: 26.02.2020 (konsolidierte Textfassung, kein amtliches Inkrafttretensdatum)</w:t>
      </w:r>
    </w:p>
    <w:p>
      <w:r>
        <w:t xml:space="preserve">Ab dem 1. Juni 2019 ist diese Verordnung nur noch auf Anträge zur Gewährung der Ausfuhrerstattung nach § 16 anzuwenden, die bis einschließlich 31. Mai 2019 gestellt worden sind.</w:t>
      </w:r>
    </w:p>
    <w:p>
      <w:r>
        <w:rPr>
          <w:color w:val="555555"/>
          <w:sz w:val="17"/>
        </w:rPr>
        <w:t xml:space="preserve">Zitiervorschlag: § 19 AusfErstV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https://recht.nulegal.eu/gesetze/AusfErstV%201996/19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