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AusfErstV 1996 — Sicherheitsleistung</w:t>
      </w:r>
    </w:p>
    <w:p>
      <w:r>
        <w:rPr>
          <w:color w:val="555555"/>
          <w:sz w:val="18"/>
        </w:rPr>
        <w:t xml:space="preserve">Ausfuhrerstattungsverordnung</w:t>
      </w:r>
    </w:p>
    <w:p>
      <w:r>
        <w:rPr>
          <w:color w:val="555555"/>
          <w:sz w:val="18"/>
        </w:rPr>
        <w:t xml:space="preserve">Stand: 26.02.2020 (konsolidierte Textfassung, kein amtliches Inkrafttretensdatum)</w:t>
      </w:r>
    </w:p>
    <w:p>
      <w:r>
        <w:t xml:space="preserve">Soll die Erstattung als Vorauszahlung gezahlt werden, so ist die nach den in § 1 genannten Rechtsakten vorgeschriebene Sicherheit beim Hauptzollamt Hamburg zu leisten.</w:t>
      </w:r>
    </w:p>
    <w:p>
      <w:r>
        <w:rPr>
          <w:color w:val="555555"/>
          <w:sz w:val="17"/>
        </w:rPr>
        <w:t xml:space="preserve">Zitiervorschlag: § 18 AusfErstV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https://recht.nulegal.eu/gesetze/AusfErstV%201996/18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