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AusfErstV 1996 — Anwendungsbereich</w:t>
      </w:r>
    </w:p>
    <w:p>
      <w:r>
        <w:rPr>
          <w:color w:val="555555"/>
          <w:sz w:val="18"/>
        </w:rPr>
        <w:t xml:space="preserve">Ausfuhrerstattungsverordnung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dieser Verordnung gelten für die Durchführung der Rechtsakte der Europäischen Gemeinschaft, die im Rahmen der gemeinsamen Marktorganisationen und Handelsregelungen hinsichtlich der Erstattungen bei der Ausfuhr erlassen worden sind.</w:t>
      </w:r>
    </w:p>
    <w:p>
      <w:r>
        <w:rPr>
          <w:color w:val="555555"/>
          <w:sz w:val="17"/>
        </w:rPr>
        <w:t xml:space="preserve">Zitiervorschlag: § 1 AusfErstV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https://recht.nulegal.eu/gesetze/AusfErstV%201996/1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