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AusbauBAusbV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von Trockenbaukonstruktionen“    mit 30 Prozent,</w:t>
      </w:r>
    </w:p>
    <w:p>
      <w:r>
        <w:rPr>
          <w:rFonts w:ascii="Courier New" w:hAnsi="Courier New"/>
          <w:sz w:val="17"/>
        </w:rPr>
        <w:t xml:space="preserve">„Durchführen von Trockenbaukonstruktionsarbeiten“    mit 10 Prozent,</w:t>
      </w:r>
    </w:p>
    <w:p>
      <w:r>
        <w:rPr>
          <w:rFonts w:ascii="Courier New" w:hAnsi="Courier New"/>
          <w:sz w:val="17"/>
        </w:rPr>
        <w:t xml:space="preserve">„Durchführen von Sanierungsarbeiten und Instandsetzungsarbeiten“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99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Trockenbaukonstruktionen“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98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