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AusbauBAusbV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Ausbauarbeiten“    mit 40 Prozent,</w:t>
      </w:r>
    </w:p>
    <w:p>
      <w:r>
        <w:rPr>
          <w:rFonts w:ascii="Courier New" w:hAnsi="Courier New"/>
          <w:sz w:val="17"/>
        </w:rPr>
        <w:t xml:space="preserve">„Herstellen von Formstücken und Dämmungen“    mit 30 Prozent,</w:t>
      </w:r>
    </w:p>
    <w:p>
      <w:r>
        <w:rPr>
          <w:rFonts w:ascii="Courier New" w:hAnsi="Courier New"/>
          <w:sz w:val="17"/>
        </w:rPr>
        <w:t xml:space="preserve">„Durchführen von Energieeffizienzmaßnahmen“    mit 10 Prozent,</w:t>
      </w:r>
    </w:p>
    <w:p>
      <w:r>
        <w:rPr>
          <w:rFonts w:ascii="Courier New" w:hAnsi="Courier New"/>
          <w:sz w:val="17"/>
        </w:rPr>
        <w:t xml:space="preserve">„Durchführen von Ummantelungsarbeiten“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86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Formstücken und Dämmungen“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85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