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und Einbauen von Estrichen und Verlegen von Bodenbelägen“    mit 30 Prozent,</w:t>
      </w:r>
    </w:p>
    <w:p>
      <w:r>
        <w:rPr>
          <w:rFonts w:ascii="Courier New" w:hAnsi="Courier New"/>
          <w:sz w:val="17"/>
        </w:rPr>
        <w:t xml:space="preserve">„Durchführen von Estricharbeiten“    mit 10 Prozent,</w:t>
      </w:r>
    </w:p>
    <w:p>
      <w:r>
        <w:rPr>
          <w:rFonts w:ascii="Courier New" w:hAnsi="Courier New"/>
          <w:sz w:val="17"/>
        </w:rPr>
        <w:t xml:space="preserve">„Durchführen von Bodenbelagsarbeiten“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73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und Einbauen von Estrichen und Verlegen von Bodenbelägen“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72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