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AusbauBAusbV — Prüfungsbereich „Durchführen von Bodenbelagsarbeiten“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Bodenbelagsarbeiten“ hat der Prüfling nachzuweisen, dass er in der Lage ist,</w:t>
      </w:r>
    </w:p>
    <w:p>
      <w:pPr>
        <w:ind w:left="420"/>
      </w:pPr>
      <w:r>
        <w:t xml:space="preserve">1. Verfahren zur Messung des Feuchtegehaltes in Estrichen zu beschreiben und Messwerte zu beurteilen,</w:t>
      </w:r>
    </w:p>
    <w:p>
      <w:pPr>
        <w:ind w:left="420"/>
      </w:pPr>
      <w:r>
        <w:t xml:space="preserve">2. Aufmaße zu erstellen,</w:t>
      </w:r>
    </w:p>
    <w:p>
      <w:pPr>
        <w:ind w:left="420"/>
      </w:pPr>
      <w:r>
        <w:t xml:space="preserve">3. Messungen zur Feststellung der Belegreife zu unterscheiden,</w:t>
      </w:r>
    </w:p>
    <w:p>
      <w:pPr>
        <w:ind w:left="420"/>
      </w:pPr>
      <w:r>
        <w:t xml:space="preserve">4. Verlegepläne unter wirtschaftlichen und gestalterischen Gesichtspunkten zu erstellen,</w:t>
      </w:r>
    </w:p>
    <w:p>
      <w:pPr>
        <w:ind w:left="420"/>
      </w:pPr>
      <w:r>
        <w:t xml:space="preserve">5. die Vorbereitung von Untergründen zur Verlegung von textilen und elastischen Bodenbelägen zu beschreiben,</w:t>
      </w:r>
    </w:p>
    <w:p>
      <w:pPr>
        <w:ind w:left="420"/>
      </w:pPr>
      <w:r>
        <w:t xml:space="preserve">6. Verfahren zur Herstellung textiler und elastischer Bodenbeläge zu unterscheiden und auszuwählen,</w:t>
      </w:r>
    </w:p>
    <w:p>
      <w:pPr>
        <w:ind w:left="420"/>
      </w:pPr>
      <w:r>
        <w:t xml:space="preserve">7. Reinigungs- und Pflegemittel zu unterscheiden und auszuwählen,</w:t>
      </w:r>
    </w:p>
    <w:p>
      <w:pPr>
        <w:ind w:left="420"/>
      </w:pPr>
      <w:r>
        <w:t xml:space="preserve">8. Konstruktionsarten von Kunstharzschichten zu erläutern,</w:t>
      </w:r>
    </w:p>
    <w:p>
      <w:pPr>
        <w:ind w:left="420"/>
      </w:pPr>
      <w:r>
        <w:t xml:space="preserve">9. Arbeitsschutzmaßnahmen bei der Arbeit mit Klebern und Kunstharzen zu erläutern,</w:t>
      </w:r>
    </w:p>
    <w:p>
      <w:pPr>
        <w:ind w:left="420"/>
      </w:pPr>
      <w:r>
        <w:t xml:space="preserve">10. Rutschfestigkeitsklassen bei Bodenbelägen zu unterscheiden und nach Anforderungen auszuwählen,</w:t>
      </w:r>
    </w:p>
    <w:p>
      <w:pPr>
        <w:ind w:left="420"/>
      </w:pPr>
      <w:r>
        <w:t xml:space="preserve">11. Verbindungsarten bei Laminatböden zu unterscheiden,</w:t>
      </w:r>
    </w:p>
    <w:p>
      <w:pPr>
        <w:ind w:left="420"/>
      </w:pPr>
      <w:r>
        <w:t xml:space="preserve">12. Verfugen und Verschweißen von Bahnen und Plattenbelägen zu beschreiben,</w:t>
      </w:r>
    </w:p>
    <w:p>
      <w:pPr>
        <w:ind w:left="420"/>
      </w:pPr>
      <w:r>
        <w:t xml:space="preserve">13. Sockelausbildungen zu unterscheiden,</w:t>
      </w:r>
    </w:p>
    <w:p>
      <w:pPr>
        <w:ind w:left="420"/>
      </w:pPr>
      <w:r>
        <w:t xml:space="preserve">14. Verlegeverfahren für textile und elastische Bodenbeläge zu unterscheiden sowie</w:t>
      </w:r>
    </w:p>
    <w:p>
      <w:pPr>
        <w:ind w:left="420"/>
      </w:pPr>
      <w:r>
        <w:t xml:space="preserve">15. Maßnahmen zum Rückbau von Bodenbelägen unter Umwelt- und gesundheitlichen Aspekten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70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