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AusbauBAusbV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Ausbauarbeiten“    mit 40 Prozent,</w:t>
      </w:r>
    </w:p>
    <w:p>
      <w:r>
        <w:rPr>
          <w:rFonts w:ascii="Courier New" w:hAnsi="Courier New"/>
          <w:sz w:val="17"/>
        </w:rPr>
        <w:t xml:space="preserve">„Herstellen von Belägen aus Fliesen, Platten oder Mosaiken“    mit 30 Prozent,</w:t>
      </w:r>
    </w:p>
    <w:p>
      <w:r>
        <w:rPr>
          <w:rFonts w:ascii="Courier New" w:hAnsi="Courier New"/>
          <w:sz w:val="17"/>
        </w:rPr>
        <w:t xml:space="preserve">„Durchführen von Wandbelagsarbeiten“    mit 10 Prozent,</w:t>
      </w:r>
    </w:p>
    <w:p>
      <w:r>
        <w:rPr>
          <w:rFonts w:ascii="Courier New" w:hAnsi="Courier New"/>
          <w:sz w:val="17"/>
        </w:rPr>
        <w:t xml:space="preserve">„Durchführen von Bodenbelagsarbeiten“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Gesellen- oder Abschlussprüfung ist bestanden, wenn die Prüfungsleistungen – auch unter Berücksichtigung einer mündlichen Ergänzungsprüfung nach § 60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Belägen aus Fliesen, Platten oder Mosaiken“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59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